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heme="majorEastAsia" w:hAnsiTheme="majorEastAsia" w:eastAsiaTheme="majorEastAsia"/>
          <w:b/>
          <w:sz w:val="44"/>
          <w:szCs w:val="44"/>
        </w:rPr>
      </w:pPr>
    </w:p>
    <w:p>
      <w:pPr>
        <w:jc w:val="center"/>
        <w:rPr>
          <w:rFonts w:hint="eastAsia" w:asciiTheme="majorEastAsia" w:hAnsiTheme="majorEastAsia" w:eastAsiaTheme="majorEastAsia"/>
          <w:b/>
          <w:sz w:val="44"/>
          <w:szCs w:val="44"/>
        </w:rPr>
      </w:pPr>
      <w:r>
        <w:rPr>
          <w:rFonts w:hint="eastAsia" w:asciiTheme="majorEastAsia" w:hAnsiTheme="majorEastAsia" w:eastAsiaTheme="majorEastAsia"/>
          <w:b/>
          <w:sz w:val="44"/>
          <w:szCs w:val="44"/>
        </w:rPr>
        <w:t>湖北省建设监理协会专家</w:t>
      </w:r>
      <w:r>
        <w:rPr>
          <w:rFonts w:hint="eastAsia" w:asciiTheme="majorEastAsia" w:hAnsiTheme="majorEastAsia" w:eastAsiaTheme="majorEastAsia"/>
          <w:b/>
          <w:sz w:val="44"/>
          <w:szCs w:val="44"/>
          <w:lang w:eastAsia="zh-CN"/>
        </w:rPr>
        <w:t>工作</w:t>
      </w:r>
      <w:r>
        <w:rPr>
          <w:rFonts w:hint="eastAsia" w:asciiTheme="majorEastAsia" w:hAnsiTheme="majorEastAsia" w:eastAsiaTheme="majorEastAsia"/>
          <w:b/>
          <w:sz w:val="44"/>
          <w:szCs w:val="44"/>
        </w:rPr>
        <w:t>委员会</w:t>
      </w:r>
    </w:p>
    <w:p>
      <w:pPr>
        <w:jc w:val="center"/>
        <w:rPr>
          <w:rFonts w:asciiTheme="majorEastAsia" w:hAnsiTheme="majorEastAsia" w:eastAsiaTheme="majorEastAsia"/>
          <w:b/>
          <w:sz w:val="44"/>
          <w:szCs w:val="44"/>
        </w:rPr>
      </w:pPr>
      <w:r>
        <w:rPr>
          <w:rFonts w:hint="eastAsia" w:asciiTheme="majorEastAsia" w:hAnsiTheme="majorEastAsia" w:eastAsiaTheme="majorEastAsia"/>
          <w:b/>
          <w:sz w:val="44"/>
          <w:szCs w:val="44"/>
        </w:rPr>
        <w:t>管理办法</w:t>
      </w:r>
    </w:p>
    <w:p>
      <w:pPr>
        <w:spacing w:line="560" w:lineRule="exact"/>
        <w:jc w:val="center"/>
        <w:rPr>
          <w:rFonts w:ascii="仿宋" w:hAnsi="仿宋" w:eastAsia="仿宋"/>
          <w:color w:val="auto"/>
          <w:sz w:val="32"/>
          <w:szCs w:val="32"/>
        </w:rPr>
      </w:pPr>
      <w:r>
        <w:rPr>
          <w:rFonts w:hint="eastAsia" w:ascii="仿宋" w:hAnsi="仿宋" w:eastAsia="仿宋"/>
          <w:color w:val="auto"/>
          <w:sz w:val="32"/>
          <w:szCs w:val="32"/>
        </w:rPr>
        <w:t>（</w:t>
      </w:r>
      <w:r>
        <w:rPr>
          <w:rFonts w:hint="eastAsia" w:ascii="仿宋" w:hAnsi="仿宋" w:eastAsia="仿宋"/>
          <w:color w:val="auto"/>
          <w:sz w:val="32"/>
          <w:szCs w:val="32"/>
          <w:lang w:eastAsia="zh-CN"/>
        </w:rPr>
        <w:t>征求意见稿</w:t>
      </w:r>
      <w:r>
        <w:rPr>
          <w:rFonts w:hint="eastAsia" w:ascii="仿宋" w:hAnsi="仿宋" w:eastAsia="仿宋"/>
          <w:color w:val="auto"/>
          <w:sz w:val="32"/>
          <w:szCs w:val="32"/>
        </w:rPr>
        <w:t>）</w:t>
      </w:r>
    </w:p>
    <w:p>
      <w:pPr>
        <w:spacing w:line="560" w:lineRule="exact"/>
        <w:jc w:val="center"/>
        <w:rPr>
          <w:rFonts w:asciiTheme="minorEastAsia" w:hAnsiTheme="minorEastAsia" w:eastAsiaTheme="minorEastAsia"/>
          <w:b/>
          <w:color w:val="auto"/>
          <w:sz w:val="32"/>
          <w:szCs w:val="32"/>
        </w:rPr>
      </w:pPr>
    </w:p>
    <w:p>
      <w:pPr>
        <w:spacing w:line="520" w:lineRule="exact"/>
        <w:jc w:val="center"/>
        <w:rPr>
          <w:rFonts w:hint="eastAsia" w:asciiTheme="minorEastAsia" w:hAnsiTheme="minorEastAsia" w:eastAsiaTheme="minorEastAsia"/>
          <w:b/>
          <w:color w:val="auto"/>
          <w:sz w:val="32"/>
          <w:szCs w:val="32"/>
        </w:rPr>
      </w:pPr>
    </w:p>
    <w:p>
      <w:pPr>
        <w:spacing w:line="520" w:lineRule="exact"/>
        <w:jc w:val="center"/>
        <w:rPr>
          <w:rFonts w:asciiTheme="minorEastAsia" w:hAnsiTheme="minorEastAsia" w:eastAsiaTheme="minorEastAsia"/>
          <w:b/>
          <w:color w:val="auto"/>
          <w:sz w:val="32"/>
          <w:szCs w:val="32"/>
        </w:rPr>
      </w:pPr>
      <w:r>
        <w:rPr>
          <w:rFonts w:hint="eastAsia" w:asciiTheme="minorEastAsia" w:hAnsiTheme="minorEastAsia" w:eastAsiaTheme="minorEastAsia"/>
          <w:b/>
          <w:color w:val="auto"/>
          <w:sz w:val="32"/>
          <w:szCs w:val="32"/>
        </w:rPr>
        <w:t>第一章  总  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ascii="仿宋" w:hAnsi="仿宋" w:eastAsia="仿宋"/>
          <w:b w:val="0"/>
          <w:bCs w:val="0"/>
          <w:color w:val="auto"/>
          <w:sz w:val="32"/>
          <w:szCs w:val="32"/>
        </w:rPr>
      </w:pPr>
      <w:r>
        <w:rPr>
          <w:rFonts w:hint="eastAsia" w:ascii="仿宋" w:hAnsi="仿宋" w:eastAsia="仿宋"/>
          <w:color w:val="auto"/>
          <w:sz w:val="32"/>
          <w:szCs w:val="32"/>
        </w:rPr>
        <w:t>　</w:t>
      </w:r>
      <w:r>
        <w:rPr>
          <w:rFonts w:hint="eastAsia" w:ascii="仿宋" w:hAnsi="仿宋" w:eastAsia="仿宋"/>
          <w:color w:val="auto"/>
          <w:sz w:val="32"/>
          <w:szCs w:val="32"/>
        </w:rPr>
        <w:t xml:space="preserve">　第一条  </w:t>
      </w:r>
      <w:r>
        <w:rPr>
          <w:rFonts w:hint="eastAsia" w:ascii="仿宋" w:hAnsi="仿宋" w:eastAsia="仿宋"/>
          <w:b w:val="0"/>
          <w:bCs w:val="0"/>
          <w:color w:val="auto"/>
          <w:sz w:val="32"/>
          <w:szCs w:val="32"/>
        </w:rPr>
        <w:t>为</w:t>
      </w:r>
      <w:r>
        <w:rPr>
          <w:rFonts w:hint="eastAsia" w:ascii="仿宋" w:hAnsi="仿宋" w:eastAsia="仿宋"/>
          <w:b w:val="0"/>
          <w:bCs w:val="0"/>
          <w:color w:val="auto"/>
          <w:sz w:val="32"/>
          <w:szCs w:val="32"/>
          <w:lang w:eastAsia="zh-CN"/>
        </w:rPr>
        <w:t>全面推进监理行业人才队伍建设</w:t>
      </w:r>
      <w:r>
        <w:rPr>
          <w:rFonts w:hint="eastAsia" w:ascii="仿宋" w:hAnsi="仿宋" w:eastAsia="仿宋"/>
          <w:b w:val="0"/>
          <w:bCs w:val="0"/>
          <w:color w:val="auto"/>
          <w:sz w:val="32"/>
          <w:szCs w:val="32"/>
        </w:rPr>
        <w:t>，充分发挥</w:t>
      </w:r>
      <w:r>
        <w:rPr>
          <w:rFonts w:hint="eastAsia" w:ascii="仿宋" w:hAnsi="仿宋" w:eastAsia="仿宋"/>
          <w:b w:val="0"/>
          <w:bCs w:val="0"/>
          <w:color w:val="auto"/>
          <w:sz w:val="32"/>
          <w:szCs w:val="32"/>
          <w:lang w:eastAsia="zh-CN"/>
        </w:rPr>
        <w:t>协会</w:t>
      </w:r>
      <w:r>
        <w:rPr>
          <w:rFonts w:hint="eastAsia" w:ascii="仿宋" w:hAnsi="仿宋" w:eastAsia="仿宋"/>
          <w:b w:val="0"/>
          <w:bCs w:val="0"/>
          <w:color w:val="auto"/>
          <w:sz w:val="32"/>
          <w:szCs w:val="32"/>
        </w:rPr>
        <w:t>公益职能，</w:t>
      </w:r>
      <w:r>
        <w:rPr>
          <w:rFonts w:hint="eastAsia" w:ascii="仿宋" w:hAnsi="仿宋" w:eastAsia="仿宋" w:cs="仿宋"/>
          <w:b w:val="0"/>
          <w:bCs w:val="0"/>
          <w:i w:val="0"/>
          <w:iCs w:val="0"/>
          <w:caps w:val="0"/>
          <w:color w:val="auto"/>
          <w:spacing w:val="0"/>
          <w:sz w:val="32"/>
          <w:szCs w:val="32"/>
          <w:shd w:val="clear" w:fill="FFFFFF"/>
        </w:rPr>
        <w:t>凝心聚力和发挥专家人才智慧的有效平台</w:t>
      </w:r>
      <w:r>
        <w:rPr>
          <w:rFonts w:hint="eastAsia" w:ascii="仿宋" w:hAnsi="仿宋" w:eastAsia="仿宋" w:cs="仿宋"/>
          <w:b w:val="0"/>
          <w:bCs w:val="0"/>
          <w:i w:val="0"/>
          <w:iCs w:val="0"/>
          <w:caps w:val="0"/>
          <w:color w:val="auto"/>
          <w:spacing w:val="0"/>
          <w:sz w:val="32"/>
          <w:szCs w:val="32"/>
          <w:shd w:val="clear" w:fill="FFFFFF"/>
          <w:lang w:eastAsia="zh-CN"/>
        </w:rPr>
        <w:t>，为行业高质量发展注入新动能</w:t>
      </w:r>
      <w:r>
        <w:rPr>
          <w:rFonts w:hint="eastAsia" w:ascii="仿宋" w:hAnsi="仿宋" w:eastAsia="仿宋"/>
          <w:b w:val="0"/>
          <w:bCs w:val="0"/>
          <w:color w:val="auto"/>
          <w:sz w:val="32"/>
          <w:szCs w:val="32"/>
        </w:rPr>
        <w:t>，</w:t>
      </w:r>
      <w:r>
        <w:rPr>
          <w:rFonts w:hint="eastAsia" w:ascii="仿宋" w:hAnsi="仿宋" w:eastAsia="仿宋"/>
          <w:b w:val="0"/>
          <w:bCs w:val="0"/>
          <w:color w:val="auto"/>
          <w:sz w:val="32"/>
          <w:szCs w:val="32"/>
          <w:lang w:eastAsia="zh-CN"/>
        </w:rPr>
        <w:t>在</w:t>
      </w:r>
      <w:r>
        <w:rPr>
          <w:rFonts w:hint="eastAsia" w:ascii="仿宋" w:hAnsi="仿宋" w:eastAsia="仿宋" w:cs="仿宋"/>
          <w:b w:val="0"/>
          <w:bCs w:val="0"/>
          <w:color w:val="auto"/>
          <w:sz w:val="32"/>
          <w:szCs w:val="32"/>
          <w:lang w:eastAsia="zh-CN"/>
        </w:rPr>
        <w:t>全省</w:t>
      </w:r>
      <w:r>
        <w:rPr>
          <w:rFonts w:hint="eastAsia" w:ascii="仿宋" w:hAnsi="仿宋" w:eastAsia="仿宋" w:cs="仿宋"/>
          <w:b w:val="0"/>
          <w:bCs w:val="0"/>
          <w:i w:val="0"/>
          <w:iCs w:val="0"/>
          <w:caps w:val="0"/>
          <w:color w:val="auto"/>
          <w:spacing w:val="0"/>
          <w:sz w:val="32"/>
          <w:szCs w:val="32"/>
          <w:shd w:val="clear" w:fill="FFFFFF"/>
        </w:rPr>
        <w:t>推进加快建设全国构建新发展格局先行区贡献</w:t>
      </w:r>
      <w:r>
        <w:rPr>
          <w:rFonts w:hint="eastAsia" w:ascii="仿宋" w:hAnsi="仿宋" w:eastAsia="仿宋" w:cs="仿宋"/>
          <w:b w:val="0"/>
          <w:bCs w:val="0"/>
          <w:i w:val="0"/>
          <w:iCs w:val="0"/>
          <w:caps w:val="0"/>
          <w:color w:val="auto"/>
          <w:spacing w:val="0"/>
          <w:sz w:val="32"/>
          <w:szCs w:val="32"/>
          <w:shd w:val="clear" w:fill="FFFFFF"/>
          <w:lang w:eastAsia="zh-CN"/>
        </w:rPr>
        <w:t>监理人的</w:t>
      </w:r>
      <w:r>
        <w:rPr>
          <w:rFonts w:hint="eastAsia" w:ascii="仿宋" w:hAnsi="仿宋" w:eastAsia="仿宋" w:cs="仿宋"/>
          <w:b w:val="0"/>
          <w:bCs w:val="0"/>
          <w:i w:val="0"/>
          <w:iCs w:val="0"/>
          <w:caps w:val="0"/>
          <w:color w:val="auto"/>
          <w:spacing w:val="0"/>
          <w:sz w:val="32"/>
          <w:szCs w:val="32"/>
          <w:shd w:val="clear" w:fill="FFFFFF"/>
        </w:rPr>
        <w:t>智慧和力量</w:t>
      </w:r>
      <w:r>
        <w:rPr>
          <w:rFonts w:hint="eastAsia" w:ascii="仿宋" w:hAnsi="仿宋" w:eastAsia="仿宋" w:cs="仿宋"/>
          <w:b w:val="0"/>
          <w:bCs w:val="0"/>
          <w:i w:val="0"/>
          <w:iCs w:val="0"/>
          <w:caps w:val="0"/>
          <w:color w:val="auto"/>
          <w:spacing w:val="0"/>
          <w:sz w:val="32"/>
          <w:szCs w:val="32"/>
          <w:shd w:val="clear" w:fill="FFFFFF"/>
          <w:lang w:eastAsia="zh-CN"/>
        </w:rPr>
        <w:t>。为规范行业人才智库管理，</w:t>
      </w:r>
      <w:r>
        <w:rPr>
          <w:rFonts w:hint="eastAsia" w:ascii="仿宋" w:hAnsi="仿宋" w:eastAsia="仿宋"/>
          <w:b w:val="0"/>
          <w:bCs w:val="0"/>
          <w:color w:val="auto"/>
          <w:sz w:val="32"/>
          <w:szCs w:val="32"/>
        </w:rPr>
        <w:t>制定本办法。</w:t>
      </w:r>
    </w:p>
    <w:p>
      <w:pPr>
        <w:keepNext w:val="0"/>
        <w:keepLines w:val="0"/>
        <w:pageBreakBefore w:val="0"/>
        <w:kinsoku/>
        <w:wordWrap/>
        <w:overflowPunct/>
        <w:topLinePunct w:val="0"/>
        <w:autoSpaceDE/>
        <w:autoSpaceDN/>
        <w:bidi w:val="0"/>
        <w:adjustRightInd/>
        <w:snapToGrid/>
        <w:spacing w:line="560" w:lineRule="exact"/>
        <w:textAlignment w:val="auto"/>
        <w:rPr>
          <w:rFonts w:ascii="仿宋" w:hAnsi="仿宋" w:eastAsia="仿宋"/>
          <w:color w:val="auto"/>
          <w:sz w:val="32"/>
          <w:szCs w:val="32"/>
        </w:rPr>
      </w:pPr>
      <w:r>
        <w:rPr>
          <w:rFonts w:hint="eastAsia" w:ascii="仿宋" w:hAnsi="仿宋" w:eastAsia="仿宋"/>
          <w:color w:val="auto"/>
          <w:sz w:val="32"/>
          <w:szCs w:val="32"/>
        </w:rPr>
        <w:t>　　第二条  湖北省建设监理协会专家</w:t>
      </w:r>
      <w:r>
        <w:rPr>
          <w:rFonts w:hint="eastAsia" w:ascii="仿宋" w:hAnsi="仿宋" w:eastAsia="仿宋"/>
          <w:color w:val="auto"/>
          <w:sz w:val="32"/>
          <w:szCs w:val="32"/>
          <w:lang w:eastAsia="zh-CN"/>
        </w:rPr>
        <w:t>工作</w:t>
      </w:r>
      <w:r>
        <w:rPr>
          <w:rFonts w:hint="eastAsia" w:ascii="仿宋" w:hAnsi="仿宋" w:eastAsia="仿宋"/>
          <w:color w:val="auto"/>
          <w:sz w:val="32"/>
          <w:szCs w:val="32"/>
        </w:rPr>
        <w:t>委员会是协会的分支机构</w:t>
      </w:r>
      <w:r>
        <w:rPr>
          <w:rFonts w:hint="eastAsia" w:ascii="仿宋" w:hAnsi="仿宋" w:eastAsia="仿宋"/>
          <w:color w:val="auto"/>
          <w:sz w:val="32"/>
          <w:szCs w:val="32"/>
          <w:lang w:val="en-US" w:eastAsia="zh-CN"/>
        </w:rPr>
        <w:t>(以下简称专家委）</w:t>
      </w:r>
      <w:r>
        <w:rPr>
          <w:rFonts w:hint="eastAsia" w:ascii="仿宋" w:hAnsi="仿宋" w:eastAsia="仿宋"/>
          <w:color w:val="auto"/>
          <w:sz w:val="32"/>
          <w:szCs w:val="32"/>
        </w:rPr>
        <w:t>，按照协会秘书处的工作部署开展工作，由协会秘书处按照本办法和有关规定进行管理。</w:t>
      </w:r>
    </w:p>
    <w:p>
      <w:pPr>
        <w:keepNext w:val="0"/>
        <w:keepLines w:val="0"/>
        <w:pageBreakBefore w:val="0"/>
        <w:kinsoku/>
        <w:wordWrap/>
        <w:overflowPunct/>
        <w:topLinePunct w:val="0"/>
        <w:autoSpaceDE/>
        <w:autoSpaceDN/>
        <w:bidi w:val="0"/>
        <w:adjustRightInd/>
        <w:snapToGrid/>
        <w:spacing w:line="560" w:lineRule="exact"/>
        <w:textAlignment w:val="auto"/>
        <w:rPr>
          <w:rFonts w:ascii="仿宋" w:hAnsi="仿宋" w:eastAsia="仿宋"/>
          <w:color w:val="auto"/>
          <w:sz w:val="32"/>
          <w:szCs w:val="32"/>
        </w:rPr>
      </w:pPr>
      <w:r>
        <w:rPr>
          <w:rFonts w:hint="eastAsia" w:ascii="仿宋" w:hAnsi="仿宋" w:eastAsia="仿宋"/>
          <w:color w:val="auto"/>
          <w:sz w:val="32"/>
          <w:szCs w:val="32"/>
        </w:rPr>
        <w:t>　　第三条  专家委员会的服务宗旨是：充分发挥 “提供服务、反映诉求、规范行为”的作用，积极应对监理行业面临的机遇与挑战，配合推动监理管理制度改革，加强监理队伍建设，强化行业自律管理，落实监理工作职责，提升监理工作水平，推进监理事业科学发展。</w:t>
      </w:r>
    </w:p>
    <w:p>
      <w:pPr>
        <w:keepNext w:val="0"/>
        <w:keepLines w:val="0"/>
        <w:pageBreakBefore w:val="0"/>
        <w:kinsoku/>
        <w:wordWrap/>
        <w:overflowPunct/>
        <w:topLinePunct w:val="0"/>
        <w:autoSpaceDE/>
        <w:autoSpaceDN/>
        <w:bidi w:val="0"/>
        <w:adjustRightInd/>
        <w:snapToGrid/>
        <w:spacing w:line="560" w:lineRule="exact"/>
        <w:jc w:val="center"/>
        <w:textAlignment w:val="auto"/>
        <w:rPr>
          <w:rFonts w:asciiTheme="majorEastAsia" w:hAnsiTheme="majorEastAsia" w:eastAsiaTheme="majorEastAsia"/>
          <w:b/>
          <w:color w:val="auto"/>
          <w:sz w:val="32"/>
          <w:szCs w:val="32"/>
        </w:rPr>
      </w:pPr>
      <w:r>
        <w:rPr>
          <w:rFonts w:hint="eastAsia" w:asciiTheme="majorEastAsia" w:hAnsiTheme="majorEastAsia" w:eastAsiaTheme="majorEastAsia"/>
          <w:b/>
          <w:color w:val="auto"/>
          <w:sz w:val="32"/>
          <w:szCs w:val="32"/>
        </w:rPr>
        <w:t>第二章  组织机构和入选条件</w:t>
      </w:r>
    </w:p>
    <w:p>
      <w:pPr>
        <w:keepNext w:val="0"/>
        <w:keepLines w:val="0"/>
        <w:pageBreakBefore w:val="0"/>
        <w:kinsoku/>
        <w:wordWrap/>
        <w:overflowPunct/>
        <w:topLinePunct w:val="0"/>
        <w:autoSpaceDE/>
        <w:autoSpaceDN/>
        <w:bidi w:val="0"/>
        <w:adjustRightInd/>
        <w:snapToGrid/>
        <w:spacing w:line="560" w:lineRule="exact"/>
        <w:ind w:firstLine="645"/>
        <w:textAlignment w:val="auto"/>
        <w:rPr>
          <w:rFonts w:ascii="仿宋" w:hAnsi="仿宋" w:eastAsia="仿宋"/>
          <w:color w:val="auto"/>
          <w:sz w:val="32"/>
          <w:szCs w:val="32"/>
        </w:rPr>
      </w:pPr>
      <w:r>
        <w:rPr>
          <w:rFonts w:hint="eastAsia" w:ascii="仿宋" w:hAnsi="仿宋" w:eastAsia="仿宋"/>
          <w:color w:val="auto"/>
          <w:sz w:val="32"/>
          <w:szCs w:val="32"/>
        </w:rPr>
        <w:t>第四条 专家委设主任委员1名，副主任委员若干名。</w:t>
      </w:r>
    </w:p>
    <w:p>
      <w:pPr>
        <w:keepNext w:val="0"/>
        <w:keepLines w:val="0"/>
        <w:pageBreakBefore w:val="0"/>
        <w:kinsoku/>
        <w:wordWrap/>
        <w:overflowPunct/>
        <w:topLinePunct w:val="0"/>
        <w:autoSpaceDE/>
        <w:autoSpaceDN/>
        <w:bidi w:val="0"/>
        <w:adjustRightInd/>
        <w:snapToGrid/>
        <w:spacing w:line="560" w:lineRule="exact"/>
        <w:ind w:firstLine="645"/>
        <w:textAlignment w:val="auto"/>
        <w:rPr>
          <w:rFonts w:ascii="仿宋" w:hAnsi="仿宋" w:eastAsia="仿宋"/>
          <w:color w:val="auto"/>
          <w:sz w:val="32"/>
          <w:szCs w:val="32"/>
        </w:rPr>
      </w:pPr>
      <w:r>
        <w:rPr>
          <w:rFonts w:hint="eastAsia" w:ascii="仿宋" w:hAnsi="仿宋" w:eastAsia="仿宋"/>
          <w:color w:val="auto"/>
          <w:sz w:val="32"/>
          <w:szCs w:val="32"/>
        </w:rPr>
        <w:t>专家委员会主任、副主任</w:t>
      </w:r>
      <w:r>
        <w:rPr>
          <w:rFonts w:hint="eastAsia" w:ascii="仿宋" w:hAnsi="仿宋" w:eastAsia="仿宋"/>
          <w:color w:val="auto"/>
          <w:sz w:val="32"/>
          <w:szCs w:val="32"/>
          <w:lang w:eastAsia="zh-CN"/>
        </w:rPr>
        <w:t>候选人从</w:t>
      </w:r>
      <w:r>
        <w:rPr>
          <w:rFonts w:hint="eastAsia" w:ascii="仿宋" w:hAnsi="仿宋" w:eastAsia="仿宋"/>
          <w:color w:val="auto"/>
          <w:sz w:val="32"/>
          <w:szCs w:val="32"/>
        </w:rPr>
        <w:t>专家委员会</w:t>
      </w:r>
      <w:r>
        <w:rPr>
          <w:rFonts w:hint="eastAsia" w:ascii="仿宋" w:hAnsi="仿宋" w:eastAsia="仿宋"/>
          <w:color w:val="auto"/>
          <w:sz w:val="32"/>
          <w:szCs w:val="32"/>
          <w:lang w:eastAsia="zh-CN"/>
        </w:rPr>
        <w:t>中</w:t>
      </w:r>
      <w:r>
        <w:rPr>
          <w:rFonts w:hint="eastAsia" w:ascii="仿宋" w:hAnsi="仿宋" w:eastAsia="仿宋"/>
          <w:color w:val="auto"/>
          <w:sz w:val="32"/>
          <w:szCs w:val="32"/>
        </w:rPr>
        <w:t>选举产生。</w:t>
      </w:r>
    </w:p>
    <w:p>
      <w:pPr>
        <w:keepNext w:val="0"/>
        <w:keepLines w:val="0"/>
        <w:pageBreakBefore w:val="0"/>
        <w:kinsoku/>
        <w:wordWrap/>
        <w:overflowPunct/>
        <w:topLinePunct w:val="0"/>
        <w:autoSpaceDE/>
        <w:autoSpaceDN/>
        <w:bidi w:val="0"/>
        <w:adjustRightInd/>
        <w:snapToGrid/>
        <w:spacing w:line="560" w:lineRule="exact"/>
        <w:ind w:firstLine="645"/>
        <w:textAlignment w:val="auto"/>
        <w:rPr>
          <w:rFonts w:ascii="仿宋" w:hAnsi="仿宋" w:eastAsia="仿宋"/>
          <w:color w:val="auto"/>
          <w:sz w:val="32"/>
          <w:szCs w:val="32"/>
        </w:rPr>
      </w:pPr>
      <w:r>
        <w:rPr>
          <w:rFonts w:hint="eastAsia" w:ascii="仿宋" w:hAnsi="仿宋" w:eastAsia="仿宋"/>
          <w:color w:val="auto"/>
          <w:sz w:val="32"/>
          <w:szCs w:val="32"/>
        </w:rPr>
        <w:t>专家委员会下设</w:t>
      </w:r>
      <w:r>
        <w:rPr>
          <w:rFonts w:hint="eastAsia" w:ascii="仿宋" w:hAnsi="仿宋" w:eastAsia="仿宋"/>
          <w:color w:val="auto"/>
          <w:sz w:val="32"/>
          <w:szCs w:val="32"/>
          <w:lang w:eastAsia="zh-CN"/>
        </w:rPr>
        <w:t>五</w:t>
      </w:r>
      <w:r>
        <w:rPr>
          <w:rFonts w:hint="eastAsia" w:ascii="仿宋" w:hAnsi="仿宋" w:eastAsia="仿宋"/>
          <w:color w:val="auto"/>
          <w:sz w:val="32"/>
          <w:szCs w:val="32"/>
        </w:rPr>
        <w:t>个专家组，即理论政策研究与继续教育专家组、工程技术与全过程咨询专家组、行业诚信与自律专家组、法务与行业合法权益保护专家组</w:t>
      </w:r>
      <w:r>
        <w:rPr>
          <w:rFonts w:hint="eastAsia" w:ascii="仿宋" w:hAnsi="仿宋" w:eastAsia="仿宋"/>
          <w:color w:val="auto"/>
          <w:sz w:val="32"/>
          <w:szCs w:val="32"/>
          <w:lang w:eastAsia="zh-CN"/>
        </w:rPr>
        <w:t>和顾问组</w:t>
      </w:r>
      <w:r>
        <w:rPr>
          <w:rFonts w:hint="eastAsia" w:ascii="仿宋" w:hAnsi="仿宋" w:eastAsia="仿宋"/>
          <w:color w:val="auto"/>
          <w:sz w:val="32"/>
          <w:szCs w:val="32"/>
        </w:rPr>
        <w:t>。</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olor w:val="auto"/>
          <w:sz w:val="32"/>
          <w:szCs w:val="32"/>
          <w:lang w:eastAsia="zh-CN"/>
        </w:rPr>
      </w:pPr>
      <w:r>
        <w:rPr>
          <w:rFonts w:hint="eastAsia" w:ascii="仿宋" w:hAnsi="仿宋" w:eastAsia="仿宋"/>
          <w:color w:val="auto"/>
          <w:sz w:val="32"/>
          <w:szCs w:val="32"/>
        </w:rPr>
        <w:t>　　第五条  专家委</w:t>
      </w:r>
      <w:r>
        <w:rPr>
          <w:rFonts w:hint="eastAsia" w:ascii="仿宋" w:hAnsi="仿宋" w:eastAsia="仿宋"/>
          <w:color w:val="auto"/>
          <w:sz w:val="32"/>
          <w:szCs w:val="32"/>
          <w:lang w:eastAsia="zh-CN"/>
        </w:rPr>
        <w:t>专家候选人可采用单位和个人两种方式推荐产生，其</w:t>
      </w:r>
      <w:r>
        <w:rPr>
          <w:rFonts w:hint="eastAsia" w:ascii="仿宋" w:hAnsi="仿宋" w:eastAsia="仿宋"/>
          <w:color w:val="auto"/>
          <w:sz w:val="32"/>
          <w:szCs w:val="32"/>
        </w:rPr>
        <w:t>应具备以下条件</w:t>
      </w:r>
      <w:r>
        <w:rPr>
          <w:rFonts w:hint="eastAsia" w:ascii="仿宋" w:hAnsi="仿宋" w:eastAsia="仿宋"/>
          <w:color w:val="auto"/>
          <w:sz w:val="32"/>
          <w:szCs w:val="32"/>
          <w:lang w:eastAsia="zh-CN"/>
        </w:rPr>
        <w:t>：</w:t>
      </w:r>
    </w:p>
    <w:p>
      <w:pPr>
        <w:keepNext w:val="0"/>
        <w:keepLines w:val="0"/>
        <w:pageBreakBefore w:val="0"/>
        <w:kinsoku/>
        <w:wordWrap/>
        <w:overflowPunct/>
        <w:topLinePunct w:val="0"/>
        <w:autoSpaceDE/>
        <w:autoSpaceDN/>
        <w:bidi w:val="0"/>
        <w:adjustRightInd/>
        <w:snapToGrid/>
        <w:spacing w:line="560" w:lineRule="exact"/>
        <w:ind w:firstLine="645"/>
        <w:textAlignment w:val="auto"/>
        <w:rPr>
          <w:rFonts w:ascii="仿宋" w:hAnsi="仿宋" w:eastAsia="仿宋"/>
          <w:color w:val="auto"/>
          <w:sz w:val="32"/>
          <w:szCs w:val="32"/>
        </w:rPr>
      </w:pPr>
      <w:r>
        <w:rPr>
          <w:rFonts w:hint="eastAsia" w:ascii="仿宋" w:hAnsi="仿宋" w:eastAsia="仿宋"/>
          <w:color w:val="auto"/>
          <w:sz w:val="32"/>
          <w:szCs w:val="32"/>
        </w:rPr>
        <w:t>（一）遵纪守法，原则性强，作风正派，廉洁自律，秉公办事</w:t>
      </w:r>
      <w:r>
        <w:rPr>
          <w:rFonts w:hint="eastAsia" w:ascii="仿宋" w:hAnsi="仿宋" w:eastAsia="仿宋"/>
          <w:color w:val="auto"/>
          <w:sz w:val="32"/>
          <w:szCs w:val="32"/>
          <w:lang w:eastAsia="zh-CN"/>
        </w:rPr>
        <w:t>，具有良好的职业道德</w:t>
      </w:r>
      <w:r>
        <w:rPr>
          <w:rFonts w:hint="eastAsia" w:ascii="仿宋" w:hAnsi="仿宋" w:eastAsia="仿宋"/>
          <w:color w:val="auto"/>
          <w:sz w:val="32"/>
          <w:szCs w:val="32"/>
        </w:rPr>
        <w:t>；</w:t>
      </w:r>
    </w:p>
    <w:p>
      <w:pPr>
        <w:keepNext w:val="0"/>
        <w:keepLines w:val="0"/>
        <w:pageBreakBefore w:val="0"/>
        <w:kinsoku/>
        <w:wordWrap/>
        <w:overflowPunct/>
        <w:topLinePunct w:val="0"/>
        <w:autoSpaceDE/>
        <w:autoSpaceDN/>
        <w:bidi w:val="0"/>
        <w:adjustRightInd/>
        <w:snapToGrid/>
        <w:spacing w:line="560" w:lineRule="exact"/>
        <w:ind w:firstLine="645"/>
        <w:textAlignment w:val="auto"/>
        <w:rPr>
          <w:rFonts w:hint="eastAsia" w:ascii="仿宋" w:hAnsi="仿宋" w:eastAsia="仿宋"/>
          <w:color w:val="auto"/>
          <w:sz w:val="32"/>
          <w:szCs w:val="32"/>
          <w:lang w:eastAsia="zh-CN"/>
        </w:rPr>
      </w:pPr>
      <w:r>
        <w:rPr>
          <w:rFonts w:hint="eastAsia" w:ascii="仿宋" w:hAnsi="仿宋" w:eastAsia="仿宋"/>
          <w:color w:val="auto"/>
          <w:sz w:val="32"/>
          <w:szCs w:val="32"/>
        </w:rPr>
        <w:t>（二）</w:t>
      </w:r>
      <w:r>
        <w:rPr>
          <w:rFonts w:hint="eastAsia" w:ascii="仿宋" w:hAnsi="仿宋" w:eastAsia="仿宋"/>
          <w:color w:val="auto"/>
          <w:sz w:val="32"/>
          <w:szCs w:val="32"/>
          <w:lang w:eastAsia="zh-CN"/>
        </w:rPr>
        <w:t>熟悉工程建设程序和相关法律、法规，熟悉工程监理及其相关技术管理工作；</w:t>
      </w:r>
    </w:p>
    <w:p>
      <w:pPr>
        <w:keepNext w:val="0"/>
        <w:keepLines w:val="0"/>
        <w:pageBreakBefore w:val="0"/>
        <w:kinsoku/>
        <w:wordWrap/>
        <w:overflowPunct/>
        <w:topLinePunct w:val="0"/>
        <w:autoSpaceDE/>
        <w:autoSpaceDN/>
        <w:bidi w:val="0"/>
        <w:adjustRightInd/>
        <w:snapToGrid/>
        <w:spacing w:line="560" w:lineRule="exact"/>
        <w:ind w:firstLine="645"/>
        <w:textAlignment w:val="auto"/>
        <w:rPr>
          <w:rFonts w:ascii="仿宋" w:hAnsi="仿宋" w:eastAsia="仿宋"/>
          <w:color w:val="auto"/>
          <w:sz w:val="32"/>
          <w:szCs w:val="32"/>
        </w:rPr>
      </w:pPr>
      <w:r>
        <w:rPr>
          <w:rFonts w:hint="eastAsia" w:ascii="仿宋" w:hAnsi="仿宋" w:eastAsia="仿宋"/>
          <w:color w:val="auto"/>
          <w:sz w:val="32"/>
          <w:szCs w:val="32"/>
          <w:lang w:eastAsia="zh-CN"/>
        </w:rPr>
        <w:t>（三）自身综合素质高，</w:t>
      </w:r>
      <w:r>
        <w:rPr>
          <w:rFonts w:hint="eastAsia" w:ascii="仿宋" w:hAnsi="仿宋" w:eastAsia="仿宋"/>
          <w:color w:val="auto"/>
          <w:sz w:val="32"/>
          <w:szCs w:val="32"/>
        </w:rPr>
        <w:t>在行业内有一定的知名度和影响力；</w:t>
      </w:r>
    </w:p>
    <w:p>
      <w:pPr>
        <w:keepNext w:val="0"/>
        <w:keepLines w:val="0"/>
        <w:pageBreakBefore w:val="0"/>
        <w:kinsoku/>
        <w:wordWrap/>
        <w:overflowPunct/>
        <w:topLinePunct w:val="0"/>
        <w:autoSpaceDE/>
        <w:autoSpaceDN/>
        <w:bidi w:val="0"/>
        <w:adjustRightInd/>
        <w:snapToGrid/>
        <w:spacing w:line="560" w:lineRule="exact"/>
        <w:ind w:firstLine="645"/>
        <w:textAlignment w:val="auto"/>
        <w:rPr>
          <w:rFonts w:ascii="仿宋" w:hAnsi="仿宋" w:eastAsia="仿宋"/>
          <w:color w:val="auto"/>
          <w:sz w:val="32"/>
          <w:szCs w:val="32"/>
        </w:rPr>
      </w:pPr>
      <w:r>
        <w:rPr>
          <w:rFonts w:hint="eastAsia" w:ascii="仿宋" w:hAnsi="仿宋" w:eastAsia="仿宋"/>
          <w:color w:val="auto"/>
          <w:sz w:val="32"/>
          <w:szCs w:val="32"/>
        </w:rPr>
        <w:t>（</w:t>
      </w:r>
      <w:r>
        <w:rPr>
          <w:rFonts w:hint="eastAsia" w:ascii="仿宋" w:hAnsi="仿宋" w:eastAsia="仿宋"/>
          <w:color w:val="auto"/>
          <w:sz w:val="32"/>
          <w:szCs w:val="32"/>
          <w:lang w:eastAsia="zh-CN"/>
        </w:rPr>
        <w:t>四</w:t>
      </w:r>
      <w:r>
        <w:rPr>
          <w:rFonts w:hint="eastAsia" w:ascii="仿宋" w:hAnsi="仿宋" w:eastAsia="仿宋"/>
          <w:color w:val="auto"/>
          <w:sz w:val="32"/>
          <w:szCs w:val="32"/>
        </w:rPr>
        <w:t>）热爱工程监理事业，愿意为监理行业发展服务；</w:t>
      </w:r>
    </w:p>
    <w:p>
      <w:pPr>
        <w:keepNext w:val="0"/>
        <w:keepLines w:val="0"/>
        <w:pageBreakBefore w:val="0"/>
        <w:kinsoku/>
        <w:wordWrap/>
        <w:overflowPunct/>
        <w:topLinePunct w:val="0"/>
        <w:autoSpaceDE/>
        <w:autoSpaceDN/>
        <w:bidi w:val="0"/>
        <w:adjustRightInd/>
        <w:snapToGrid/>
        <w:spacing w:line="560" w:lineRule="exact"/>
        <w:ind w:firstLine="645"/>
        <w:textAlignment w:val="auto"/>
        <w:rPr>
          <w:rFonts w:ascii="仿宋" w:hAnsi="仿宋" w:eastAsia="仿宋"/>
          <w:color w:val="auto"/>
          <w:sz w:val="32"/>
          <w:szCs w:val="32"/>
        </w:rPr>
      </w:pPr>
      <w:r>
        <w:rPr>
          <w:rFonts w:hint="eastAsia" w:ascii="仿宋" w:hAnsi="仿宋" w:eastAsia="仿宋"/>
          <w:color w:val="auto"/>
          <w:sz w:val="32"/>
          <w:szCs w:val="32"/>
        </w:rPr>
        <w:t>（</w:t>
      </w:r>
      <w:r>
        <w:rPr>
          <w:rFonts w:hint="eastAsia" w:ascii="仿宋" w:hAnsi="仿宋" w:eastAsia="仿宋"/>
          <w:color w:val="auto"/>
          <w:sz w:val="32"/>
          <w:szCs w:val="32"/>
          <w:lang w:eastAsia="zh-CN"/>
        </w:rPr>
        <w:t>五</w:t>
      </w:r>
      <w:r>
        <w:rPr>
          <w:rFonts w:hint="eastAsia" w:ascii="仿宋" w:hAnsi="仿宋" w:eastAsia="仿宋"/>
          <w:color w:val="auto"/>
          <w:sz w:val="32"/>
          <w:szCs w:val="32"/>
        </w:rPr>
        <w:t>）</w:t>
      </w:r>
      <w:r>
        <w:rPr>
          <w:rFonts w:hint="eastAsia" w:ascii="仿宋" w:hAnsi="仿宋" w:eastAsia="仿宋"/>
          <w:color w:val="auto"/>
          <w:sz w:val="32"/>
          <w:szCs w:val="32"/>
          <w:lang w:eastAsia="zh-CN"/>
        </w:rPr>
        <w:t>持</w:t>
      </w:r>
      <w:r>
        <w:rPr>
          <w:rFonts w:hint="eastAsia" w:ascii="仿宋" w:hAnsi="仿宋" w:eastAsia="仿宋"/>
          <w:color w:val="auto"/>
          <w:sz w:val="32"/>
          <w:szCs w:val="32"/>
        </w:rPr>
        <w:t>国家注册执业资格证从事工程监理满八年以上或具备工程类高级、副教授及以上职称，且有较高的理论水平和表达能力，有丰富的实践经验；</w:t>
      </w:r>
    </w:p>
    <w:p>
      <w:pPr>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仿宋" w:hAnsi="仿宋" w:eastAsia="仿宋"/>
          <w:color w:val="auto"/>
          <w:sz w:val="32"/>
          <w:szCs w:val="32"/>
          <w:lang w:eastAsia="zh-CN"/>
        </w:rPr>
      </w:pPr>
      <w:r>
        <w:rPr>
          <w:rFonts w:hint="eastAsia" w:ascii="仿宋" w:hAnsi="仿宋" w:eastAsia="仿宋"/>
          <w:color w:val="auto"/>
          <w:sz w:val="32"/>
          <w:szCs w:val="32"/>
        </w:rPr>
        <w:t>（五）身体健康，</w:t>
      </w:r>
      <w:r>
        <w:rPr>
          <w:rFonts w:hint="eastAsia" w:ascii="仿宋" w:hAnsi="仿宋" w:eastAsia="仿宋" w:cs="仿宋"/>
          <w:i w:val="0"/>
          <w:iCs w:val="0"/>
          <w:caps w:val="0"/>
          <w:color w:val="auto"/>
          <w:spacing w:val="0"/>
          <w:sz w:val="32"/>
          <w:szCs w:val="32"/>
          <w:shd w:val="clear" w:fill="FFFFFF"/>
          <w:lang w:val="en-US" w:eastAsia="zh-CN"/>
        </w:rPr>
        <w:t>年龄在60周岁以下；顾问可适当放宽</w:t>
      </w:r>
      <w:r>
        <w:rPr>
          <w:rFonts w:hint="eastAsia" w:ascii="仿宋" w:hAnsi="仿宋" w:eastAsia="仿宋" w:cs="仿宋"/>
          <w:i w:val="0"/>
          <w:iCs w:val="0"/>
          <w:caps w:val="0"/>
          <w:color w:val="auto"/>
          <w:spacing w:val="0"/>
          <w:sz w:val="32"/>
          <w:szCs w:val="32"/>
          <w:shd w:val="clear" w:fill="FFFFFF"/>
          <w:lang w:val="en-US" w:eastAsia="zh-CN"/>
        </w:rPr>
        <w:t>。</w:t>
      </w:r>
    </w:p>
    <w:p>
      <w:pPr>
        <w:keepNext w:val="0"/>
        <w:keepLines w:val="0"/>
        <w:pageBreakBefore w:val="0"/>
        <w:kinsoku/>
        <w:wordWrap/>
        <w:overflowPunct/>
        <w:topLinePunct w:val="0"/>
        <w:autoSpaceDE/>
        <w:autoSpaceDN/>
        <w:bidi w:val="0"/>
        <w:adjustRightInd/>
        <w:snapToGrid/>
        <w:spacing w:line="560" w:lineRule="exact"/>
        <w:jc w:val="center"/>
        <w:textAlignment w:val="auto"/>
        <w:rPr>
          <w:rFonts w:asciiTheme="minorEastAsia" w:hAnsiTheme="minorEastAsia" w:eastAsiaTheme="minorEastAsia"/>
          <w:b/>
          <w:color w:val="auto"/>
          <w:sz w:val="32"/>
          <w:szCs w:val="32"/>
        </w:rPr>
      </w:pPr>
      <w:r>
        <w:rPr>
          <w:rFonts w:hint="eastAsia" w:asciiTheme="minorEastAsia" w:hAnsiTheme="minorEastAsia" w:eastAsiaTheme="minorEastAsia"/>
          <w:b/>
          <w:color w:val="auto"/>
          <w:sz w:val="32"/>
          <w:szCs w:val="32"/>
        </w:rPr>
        <w:t>第三章  职责、权利和义务</w:t>
      </w:r>
    </w:p>
    <w:p>
      <w:pPr>
        <w:keepNext w:val="0"/>
        <w:keepLines w:val="0"/>
        <w:pageBreakBefore w:val="0"/>
        <w:kinsoku/>
        <w:wordWrap/>
        <w:overflowPunct/>
        <w:topLinePunct w:val="0"/>
        <w:autoSpaceDE/>
        <w:autoSpaceDN/>
        <w:bidi w:val="0"/>
        <w:adjustRightInd/>
        <w:snapToGrid/>
        <w:spacing w:line="560" w:lineRule="exact"/>
        <w:ind w:firstLine="645"/>
        <w:textAlignment w:val="auto"/>
        <w:rPr>
          <w:rFonts w:ascii="仿宋" w:hAnsi="仿宋" w:eastAsia="仿宋"/>
          <w:color w:val="auto"/>
          <w:sz w:val="32"/>
          <w:szCs w:val="32"/>
        </w:rPr>
      </w:pPr>
      <w:r>
        <w:rPr>
          <w:rFonts w:hint="eastAsia" w:ascii="仿宋" w:hAnsi="仿宋" w:eastAsia="仿宋"/>
          <w:color w:val="auto"/>
          <w:sz w:val="32"/>
          <w:szCs w:val="32"/>
        </w:rPr>
        <w:t>第六条  专家委员会主要职责</w:t>
      </w:r>
    </w:p>
    <w:p>
      <w:pPr>
        <w:keepNext w:val="0"/>
        <w:keepLines w:val="0"/>
        <w:pageBreakBefore w:val="0"/>
        <w:kinsoku/>
        <w:wordWrap/>
        <w:overflowPunct/>
        <w:topLinePunct w:val="0"/>
        <w:autoSpaceDE/>
        <w:autoSpaceDN/>
        <w:bidi w:val="0"/>
        <w:adjustRightInd/>
        <w:snapToGrid/>
        <w:spacing w:line="560" w:lineRule="exact"/>
        <w:ind w:firstLine="645"/>
        <w:textAlignment w:val="auto"/>
        <w:rPr>
          <w:rFonts w:ascii="仿宋" w:hAnsi="仿宋" w:eastAsia="仿宋"/>
          <w:color w:val="auto"/>
          <w:sz w:val="32"/>
          <w:szCs w:val="32"/>
        </w:rPr>
      </w:pPr>
      <w:r>
        <w:rPr>
          <w:rFonts w:hint="eastAsia" w:ascii="仿宋" w:hAnsi="仿宋" w:eastAsia="仿宋"/>
          <w:color w:val="auto"/>
          <w:sz w:val="32"/>
          <w:szCs w:val="32"/>
        </w:rPr>
        <w:t>（一）参与制定监理行业法规、文件和标准规范；</w:t>
      </w:r>
    </w:p>
    <w:p>
      <w:pPr>
        <w:keepNext w:val="0"/>
        <w:keepLines w:val="0"/>
        <w:pageBreakBefore w:val="0"/>
        <w:kinsoku/>
        <w:wordWrap/>
        <w:overflowPunct/>
        <w:topLinePunct w:val="0"/>
        <w:autoSpaceDE/>
        <w:autoSpaceDN/>
        <w:bidi w:val="0"/>
        <w:adjustRightInd/>
        <w:snapToGrid/>
        <w:spacing w:line="560" w:lineRule="exact"/>
        <w:ind w:firstLine="645"/>
        <w:textAlignment w:val="auto"/>
        <w:rPr>
          <w:rFonts w:ascii="仿宋" w:hAnsi="仿宋" w:eastAsia="仿宋"/>
          <w:color w:val="auto"/>
          <w:sz w:val="32"/>
          <w:szCs w:val="32"/>
        </w:rPr>
      </w:pPr>
      <w:r>
        <w:rPr>
          <w:rFonts w:hint="eastAsia" w:ascii="仿宋" w:hAnsi="仿宋" w:eastAsia="仿宋"/>
          <w:color w:val="auto"/>
          <w:sz w:val="32"/>
          <w:szCs w:val="32"/>
        </w:rPr>
        <w:t>（二）参与重大工程技术方案与管理方案咨询；</w:t>
      </w:r>
    </w:p>
    <w:p>
      <w:pPr>
        <w:keepNext w:val="0"/>
        <w:keepLines w:val="0"/>
        <w:pageBreakBefore w:val="0"/>
        <w:kinsoku/>
        <w:wordWrap/>
        <w:overflowPunct/>
        <w:topLinePunct w:val="0"/>
        <w:autoSpaceDE/>
        <w:autoSpaceDN/>
        <w:bidi w:val="0"/>
        <w:adjustRightInd/>
        <w:snapToGrid/>
        <w:spacing w:line="560" w:lineRule="exact"/>
        <w:ind w:firstLine="645"/>
        <w:textAlignment w:val="auto"/>
        <w:rPr>
          <w:rFonts w:ascii="仿宋" w:hAnsi="仿宋" w:eastAsia="仿宋"/>
          <w:color w:val="auto"/>
          <w:sz w:val="32"/>
          <w:szCs w:val="32"/>
        </w:rPr>
      </w:pPr>
      <w:r>
        <w:rPr>
          <w:rFonts w:hint="eastAsia" w:ascii="仿宋" w:hAnsi="仿宋" w:eastAsia="仿宋"/>
          <w:color w:val="auto"/>
          <w:sz w:val="32"/>
          <w:szCs w:val="32"/>
        </w:rPr>
        <w:t>（三）参与质量安全事故调查和应急救援；</w:t>
      </w:r>
    </w:p>
    <w:p>
      <w:pPr>
        <w:keepNext w:val="0"/>
        <w:keepLines w:val="0"/>
        <w:pageBreakBefore w:val="0"/>
        <w:kinsoku/>
        <w:wordWrap/>
        <w:overflowPunct/>
        <w:topLinePunct w:val="0"/>
        <w:autoSpaceDE/>
        <w:autoSpaceDN/>
        <w:bidi w:val="0"/>
        <w:adjustRightInd/>
        <w:snapToGrid/>
        <w:spacing w:line="560" w:lineRule="exact"/>
        <w:ind w:firstLine="645"/>
        <w:textAlignment w:val="auto"/>
        <w:rPr>
          <w:rFonts w:ascii="仿宋" w:hAnsi="仿宋" w:eastAsia="仿宋"/>
          <w:color w:val="auto"/>
          <w:sz w:val="32"/>
          <w:szCs w:val="32"/>
        </w:rPr>
      </w:pPr>
      <w:r>
        <w:rPr>
          <w:rFonts w:hint="eastAsia" w:ascii="仿宋" w:hAnsi="仿宋" w:eastAsia="仿宋"/>
          <w:color w:val="auto"/>
          <w:sz w:val="32"/>
          <w:szCs w:val="32"/>
        </w:rPr>
        <w:t>（四）参与行业从业人员继续教育培训教材编写与实施；</w:t>
      </w:r>
    </w:p>
    <w:p>
      <w:pPr>
        <w:keepNext w:val="0"/>
        <w:keepLines w:val="0"/>
        <w:pageBreakBefore w:val="0"/>
        <w:kinsoku/>
        <w:wordWrap/>
        <w:overflowPunct/>
        <w:topLinePunct w:val="0"/>
        <w:autoSpaceDE/>
        <w:autoSpaceDN/>
        <w:bidi w:val="0"/>
        <w:adjustRightInd/>
        <w:snapToGrid/>
        <w:spacing w:line="560" w:lineRule="exact"/>
        <w:ind w:firstLine="645"/>
        <w:textAlignment w:val="auto"/>
        <w:rPr>
          <w:rFonts w:ascii="仿宋" w:hAnsi="仿宋" w:eastAsia="仿宋"/>
          <w:color w:val="auto"/>
          <w:sz w:val="32"/>
          <w:szCs w:val="32"/>
        </w:rPr>
      </w:pPr>
      <w:r>
        <w:rPr>
          <w:rFonts w:hint="eastAsia" w:ascii="仿宋" w:hAnsi="仿宋" w:eastAsia="仿宋"/>
          <w:color w:val="auto"/>
          <w:sz w:val="32"/>
          <w:szCs w:val="32"/>
        </w:rPr>
        <w:t>（五）参与行业评优评选、信用评价和竞赛活动；</w:t>
      </w:r>
    </w:p>
    <w:p>
      <w:pPr>
        <w:keepNext w:val="0"/>
        <w:keepLines w:val="0"/>
        <w:pageBreakBefore w:val="0"/>
        <w:kinsoku/>
        <w:wordWrap/>
        <w:overflowPunct/>
        <w:topLinePunct w:val="0"/>
        <w:autoSpaceDE/>
        <w:autoSpaceDN/>
        <w:bidi w:val="0"/>
        <w:adjustRightInd/>
        <w:snapToGrid/>
        <w:spacing w:line="560" w:lineRule="exact"/>
        <w:ind w:firstLine="645"/>
        <w:textAlignment w:val="auto"/>
        <w:rPr>
          <w:rFonts w:ascii="仿宋" w:hAnsi="仿宋" w:eastAsia="仿宋"/>
          <w:color w:val="auto"/>
          <w:sz w:val="32"/>
          <w:szCs w:val="32"/>
        </w:rPr>
      </w:pPr>
      <w:r>
        <w:rPr>
          <w:rFonts w:hint="eastAsia" w:ascii="仿宋" w:hAnsi="仿宋" w:eastAsia="仿宋"/>
          <w:color w:val="auto"/>
          <w:sz w:val="32"/>
          <w:szCs w:val="32"/>
        </w:rPr>
        <w:t>（六） 参与开发并推广运用先进工艺和技术；</w:t>
      </w:r>
    </w:p>
    <w:p>
      <w:pPr>
        <w:keepNext w:val="0"/>
        <w:keepLines w:val="0"/>
        <w:pageBreakBefore w:val="0"/>
        <w:kinsoku/>
        <w:wordWrap/>
        <w:overflowPunct/>
        <w:topLinePunct w:val="0"/>
        <w:autoSpaceDE/>
        <w:autoSpaceDN/>
        <w:bidi w:val="0"/>
        <w:adjustRightInd/>
        <w:snapToGrid/>
        <w:spacing w:line="560" w:lineRule="exact"/>
        <w:textAlignment w:val="auto"/>
        <w:rPr>
          <w:rFonts w:ascii="仿宋" w:hAnsi="仿宋" w:eastAsia="仿宋"/>
          <w:color w:val="auto"/>
          <w:sz w:val="32"/>
          <w:szCs w:val="32"/>
        </w:rPr>
      </w:pPr>
      <w:r>
        <w:rPr>
          <w:rFonts w:hint="eastAsia" w:ascii="仿宋" w:hAnsi="仿宋" w:eastAsia="仿宋"/>
          <w:color w:val="auto"/>
          <w:sz w:val="32"/>
          <w:szCs w:val="32"/>
        </w:rPr>
        <w:t>　　（七） 协会交办的其它事项。</w:t>
      </w:r>
    </w:p>
    <w:p>
      <w:pPr>
        <w:keepNext w:val="0"/>
        <w:keepLines w:val="0"/>
        <w:pageBreakBefore w:val="0"/>
        <w:kinsoku/>
        <w:wordWrap/>
        <w:overflowPunct/>
        <w:topLinePunct w:val="0"/>
        <w:autoSpaceDE/>
        <w:autoSpaceDN/>
        <w:bidi w:val="0"/>
        <w:adjustRightInd/>
        <w:snapToGrid/>
        <w:spacing w:line="560" w:lineRule="exact"/>
        <w:textAlignment w:val="auto"/>
        <w:rPr>
          <w:rFonts w:ascii="仿宋" w:hAnsi="仿宋" w:eastAsia="仿宋"/>
          <w:color w:val="auto"/>
          <w:sz w:val="32"/>
          <w:szCs w:val="32"/>
        </w:rPr>
      </w:pPr>
      <w:r>
        <w:rPr>
          <w:rFonts w:hint="eastAsia" w:ascii="仿宋" w:hAnsi="仿宋" w:eastAsia="仿宋"/>
          <w:color w:val="auto"/>
          <w:sz w:val="32"/>
          <w:szCs w:val="32"/>
        </w:rPr>
        <w:t>　　第七条　专家委员会委员专家享有以下权利</w:t>
      </w:r>
    </w:p>
    <w:p>
      <w:pPr>
        <w:keepNext w:val="0"/>
        <w:keepLines w:val="0"/>
        <w:pageBreakBefore w:val="0"/>
        <w:kinsoku/>
        <w:wordWrap/>
        <w:overflowPunct/>
        <w:topLinePunct w:val="0"/>
        <w:autoSpaceDE/>
        <w:autoSpaceDN/>
        <w:bidi w:val="0"/>
        <w:adjustRightInd/>
        <w:snapToGrid/>
        <w:spacing w:line="560" w:lineRule="exact"/>
        <w:ind w:firstLine="645"/>
        <w:textAlignment w:val="auto"/>
        <w:rPr>
          <w:rFonts w:ascii="仿宋" w:hAnsi="仿宋" w:eastAsia="仿宋"/>
          <w:color w:val="auto"/>
          <w:sz w:val="32"/>
          <w:szCs w:val="32"/>
        </w:rPr>
      </w:pPr>
      <w:r>
        <w:rPr>
          <w:rFonts w:hint="eastAsia" w:ascii="仿宋" w:hAnsi="仿宋" w:eastAsia="仿宋"/>
          <w:color w:val="auto"/>
          <w:sz w:val="32"/>
          <w:szCs w:val="32"/>
        </w:rPr>
        <w:t>（一）享有湖北省建设监理专家的称号和荣誉；</w:t>
      </w:r>
    </w:p>
    <w:p>
      <w:pPr>
        <w:keepNext w:val="0"/>
        <w:keepLines w:val="0"/>
        <w:pageBreakBefore w:val="0"/>
        <w:kinsoku/>
        <w:wordWrap/>
        <w:overflowPunct/>
        <w:topLinePunct w:val="0"/>
        <w:autoSpaceDE/>
        <w:autoSpaceDN/>
        <w:bidi w:val="0"/>
        <w:adjustRightInd/>
        <w:snapToGrid/>
        <w:spacing w:line="560" w:lineRule="exact"/>
        <w:ind w:firstLine="645"/>
        <w:textAlignment w:val="auto"/>
        <w:rPr>
          <w:rFonts w:ascii="仿宋" w:hAnsi="仿宋" w:eastAsia="仿宋"/>
          <w:color w:val="auto"/>
          <w:sz w:val="32"/>
          <w:szCs w:val="32"/>
        </w:rPr>
      </w:pPr>
      <w:r>
        <w:rPr>
          <w:rFonts w:hint="eastAsia" w:ascii="仿宋" w:hAnsi="仿宋" w:eastAsia="仿宋"/>
          <w:color w:val="auto"/>
          <w:sz w:val="32"/>
          <w:szCs w:val="32"/>
        </w:rPr>
        <w:t>（二）向协会和专家委员会提出工作意见和建议；</w:t>
      </w:r>
    </w:p>
    <w:p>
      <w:pPr>
        <w:keepNext w:val="0"/>
        <w:keepLines w:val="0"/>
        <w:pageBreakBefore w:val="0"/>
        <w:kinsoku/>
        <w:wordWrap/>
        <w:overflowPunct/>
        <w:topLinePunct w:val="0"/>
        <w:autoSpaceDE/>
        <w:autoSpaceDN/>
        <w:bidi w:val="0"/>
        <w:adjustRightInd/>
        <w:snapToGrid/>
        <w:spacing w:line="560" w:lineRule="exact"/>
        <w:ind w:firstLine="645"/>
        <w:textAlignment w:val="auto"/>
        <w:rPr>
          <w:rFonts w:ascii="仿宋" w:hAnsi="仿宋" w:eastAsia="仿宋"/>
          <w:color w:val="auto"/>
          <w:sz w:val="32"/>
          <w:szCs w:val="32"/>
        </w:rPr>
      </w:pPr>
      <w:r>
        <w:rPr>
          <w:rFonts w:hint="eastAsia" w:ascii="仿宋" w:hAnsi="仿宋" w:eastAsia="仿宋"/>
          <w:color w:val="auto"/>
          <w:sz w:val="32"/>
          <w:szCs w:val="32"/>
        </w:rPr>
        <w:t>（三）参与课题研究、行业评优评选、企业诚信评价等活动中有发表个人意见和建议；　　</w:t>
      </w:r>
    </w:p>
    <w:p>
      <w:pPr>
        <w:keepNext w:val="0"/>
        <w:keepLines w:val="0"/>
        <w:pageBreakBefore w:val="0"/>
        <w:kinsoku/>
        <w:wordWrap/>
        <w:overflowPunct/>
        <w:topLinePunct w:val="0"/>
        <w:autoSpaceDE/>
        <w:autoSpaceDN/>
        <w:bidi w:val="0"/>
        <w:adjustRightInd/>
        <w:snapToGrid/>
        <w:spacing w:line="560" w:lineRule="exact"/>
        <w:ind w:firstLine="645"/>
        <w:textAlignment w:val="auto"/>
        <w:rPr>
          <w:rFonts w:ascii="仿宋" w:hAnsi="仿宋" w:eastAsia="仿宋"/>
          <w:color w:val="auto"/>
          <w:sz w:val="32"/>
          <w:szCs w:val="32"/>
        </w:rPr>
      </w:pPr>
      <w:r>
        <w:rPr>
          <w:rFonts w:hint="eastAsia" w:ascii="仿宋" w:hAnsi="仿宋" w:eastAsia="仿宋"/>
          <w:color w:val="auto"/>
          <w:sz w:val="32"/>
          <w:szCs w:val="32"/>
        </w:rPr>
        <w:t>（四）优先在协会网站和《湖北建设监理》刊物上发表论文；</w:t>
      </w:r>
    </w:p>
    <w:p>
      <w:pPr>
        <w:keepNext w:val="0"/>
        <w:keepLines w:val="0"/>
        <w:pageBreakBefore w:val="0"/>
        <w:kinsoku/>
        <w:wordWrap/>
        <w:overflowPunct/>
        <w:topLinePunct w:val="0"/>
        <w:autoSpaceDE/>
        <w:autoSpaceDN/>
        <w:bidi w:val="0"/>
        <w:adjustRightInd/>
        <w:snapToGrid/>
        <w:spacing w:line="560" w:lineRule="exact"/>
        <w:ind w:firstLine="645"/>
        <w:textAlignment w:val="auto"/>
        <w:rPr>
          <w:rFonts w:ascii="仿宋" w:hAnsi="仿宋" w:eastAsia="仿宋"/>
          <w:color w:val="auto"/>
          <w:sz w:val="32"/>
          <w:szCs w:val="32"/>
        </w:rPr>
      </w:pPr>
      <w:r>
        <w:rPr>
          <w:rFonts w:hint="eastAsia" w:ascii="仿宋" w:hAnsi="仿宋" w:eastAsia="仿宋"/>
          <w:color w:val="auto"/>
          <w:sz w:val="32"/>
          <w:szCs w:val="32"/>
        </w:rPr>
        <w:t>（五）按相关规定要求获取劳动报酬；</w:t>
      </w:r>
    </w:p>
    <w:p>
      <w:pPr>
        <w:keepNext w:val="0"/>
        <w:keepLines w:val="0"/>
        <w:pageBreakBefore w:val="0"/>
        <w:kinsoku/>
        <w:wordWrap/>
        <w:overflowPunct/>
        <w:topLinePunct w:val="0"/>
        <w:autoSpaceDE/>
        <w:autoSpaceDN/>
        <w:bidi w:val="0"/>
        <w:adjustRightInd/>
        <w:snapToGrid/>
        <w:spacing w:line="560" w:lineRule="exact"/>
        <w:ind w:firstLine="645"/>
        <w:textAlignment w:val="auto"/>
        <w:rPr>
          <w:rFonts w:ascii="仿宋" w:hAnsi="仿宋" w:eastAsia="仿宋"/>
          <w:color w:val="auto"/>
          <w:sz w:val="32"/>
          <w:szCs w:val="32"/>
        </w:rPr>
      </w:pPr>
      <w:r>
        <w:rPr>
          <w:rFonts w:hint="eastAsia" w:ascii="仿宋" w:hAnsi="仿宋" w:eastAsia="仿宋"/>
          <w:color w:val="auto"/>
          <w:sz w:val="32"/>
          <w:szCs w:val="32"/>
        </w:rPr>
        <w:t>（六）有自愿退出专家委员会的权力。</w:t>
      </w:r>
    </w:p>
    <w:p>
      <w:pPr>
        <w:keepNext w:val="0"/>
        <w:keepLines w:val="0"/>
        <w:pageBreakBefore w:val="0"/>
        <w:kinsoku/>
        <w:wordWrap/>
        <w:overflowPunct/>
        <w:topLinePunct w:val="0"/>
        <w:autoSpaceDE/>
        <w:autoSpaceDN/>
        <w:bidi w:val="0"/>
        <w:adjustRightInd/>
        <w:snapToGrid/>
        <w:spacing w:line="560" w:lineRule="exact"/>
        <w:textAlignment w:val="auto"/>
        <w:rPr>
          <w:rFonts w:ascii="仿宋" w:hAnsi="仿宋" w:eastAsia="仿宋"/>
          <w:color w:val="auto"/>
          <w:sz w:val="32"/>
          <w:szCs w:val="32"/>
        </w:rPr>
      </w:pPr>
      <w:r>
        <w:rPr>
          <w:rFonts w:hint="eastAsia" w:ascii="仿宋" w:hAnsi="仿宋" w:eastAsia="仿宋"/>
          <w:color w:val="auto"/>
          <w:sz w:val="32"/>
          <w:szCs w:val="32"/>
        </w:rPr>
        <w:t>　　第八条  专家委员会专家的义务</w:t>
      </w:r>
    </w:p>
    <w:p>
      <w:pPr>
        <w:keepNext w:val="0"/>
        <w:keepLines w:val="0"/>
        <w:pageBreakBefore w:val="0"/>
        <w:kinsoku/>
        <w:wordWrap/>
        <w:overflowPunct/>
        <w:topLinePunct w:val="0"/>
        <w:autoSpaceDE/>
        <w:autoSpaceDN/>
        <w:bidi w:val="0"/>
        <w:adjustRightInd/>
        <w:snapToGrid/>
        <w:spacing w:line="560" w:lineRule="exact"/>
        <w:ind w:firstLine="645"/>
        <w:textAlignment w:val="auto"/>
        <w:rPr>
          <w:rFonts w:ascii="仿宋" w:hAnsi="仿宋" w:eastAsia="仿宋"/>
          <w:color w:val="auto"/>
          <w:sz w:val="32"/>
          <w:szCs w:val="32"/>
        </w:rPr>
      </w:pPr>
      <w:r>
        <w:rPr>
          <w:rFonts w:hint="eastAsia" w:ascii="仿宋" w:hAnsi="仿宋" w:eastAsia="仿宋"/>
          <w:color w:val="auto"/>
          <w:sz w:val="32"/>
          <w:szCs w:val="32"/>
        </w:rPr>
        <w:t>（一）遵守国家有关法律</w:t>
      </w:r>
      <w:r>
        <w:rPr>
          <w:rFonts w:hint="eastAsia" w:ascii="仿宋" w:hAnsi="仿宋" w:eastAsia="仿宋"/>
          <w:color w:val="auto"/>
          <w:sz w:val="32"/>
          <w:szCs w:val="32"/>
          <w:lang w:eastAsia="zh-CN"/>
        </w:rPr>
        <w:t>、</w:t>
      </w:r>
      <w:r>
        <w:rPr>
          <w:rFonts w:hint="eastAsia" w:ascii="仿宋" w:hAnsi="仿宋" w:eastAsia="仿宋"/>
          <w:color w:val="auto"/>
          <w:sz w:val="32"/>
          <w:szCs w:val="32"/>
        </w:rPr>
        <w:t>法规和专家委员会</w:t>
      </w:r>
      <w:r>
        <w:rPr>
          <w:rFonts w:hint="eastAsia" w:ascii="仿宋" w:hAnsi="仿宋" w:eastAsia="仿宋"/>
          <w:color w:val="auto"/>
          <w:sz w:val="32"/>
          <w:szCs w:val="32"/>
          <w:lang w:eastAsia="zh-CN"/>
        </w:rPr>
        <w:t>相关制度规定</w:t>
      </w:r>
      <w:r>
        <w:rPr>
          <w:rFonts w:hint="eastAsia" w:ascii="仿宋" w:hAnsi="仿宋" w:eastAsia="仿宋"/>
          <w:color w:val="auto"/>
          <w:sz w:val="32"/>
          <w:szCs w:val="32"/>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 w:hAnsi="仿宋" w:eastAsia="仿宋"/>
          <w:color w:val="auto"/>
          <w:sz w:val="32"/>
          <w:szCs w:val="32"/>
        </w:rPr>
      </w:pPr>
      <w:r>
        <w:rPr>
          <w:rFonts w:hint="eastAsia" w:ascii="仿宋" w:hAnsi="仿宋" w:eastAsia="仿宋"/>
          <w:color w:val="auto"/>
          <w:sz w:val="32"/>
          <w:szCs w:val="32"/>
        </w:rPr>
        <w:t>（二）积极参加协会组织的各项活动，完成协会委托的工作；</w:t>
      </w:r>
    </w:p>
    <w:p>
      <w:pPr>
        <w:keepNext w:val="0"/>
        <w:keepLines w:val="0"/>
        <w:pageBreakBefore w:val="0"/>
        <w:kinsoku/>
        <w:wordWrap/>
        <w:overflowPunct/>
        <w:topLinePunct w:val="0"/>
        <w:autoSpaceDE/>
        <w:autoSpaceDN/>
        <w:bidi w:val="0"/>
        <w:adjustRightInd/>
        <w:snapToGrid/>
        <w:spacing w:line="560" w:lineRule="exact"/>
        <w:textAlignment w:val="auto"/>
        <w:rPr>
          <w:rFonts w:ascii="仿宋" w:hAnsi="仿宋" w:eastAsia="仿宋"/>
          <w:color w:val="auto"/>
          <w:sz w:val="32"/>
          <w:szCs w:val="32"/>
        </w:rPr>
      </w:pPr>
      <w:r>
        <w:rPr>
          <w:rFonts w:hint="eastAsia" w:ascii="仿宋" w:hAnsi="仿宋" w:eastAsia="仿宋"/>
          <w:color w:val="auto"/>
          <w:sz w:val="32"/>
          <w:szCs w:val="32"/>
        </w:rPr>
        <w:t>　　（三）向协会提供行业相关方面的资料和信息，提出研究、开发、推广应用先进适用管理技术的建议；</w:t>
      </w:r>
    </w:p>
    <w:p>
      <w:pPr>
        <w:keepNext w:val="0"/>
        <w:keepLines w:val="0"/>
        <w:pageBreakBefore w:val="0"/>
        <w:kinsoku/>
        <w:wordWrap/>
        <w:overflowPunct/>
        <w:topLinePunct w:val="0"/>
        <w:autoSpaceDE/>
        <w:autoSpaceDN/>
        <w:bidi w:val="0"/>
        <w:adjustRightInd/>
        <w:snapToGrid/>
        <w:spacing w:line="560" w:lineRule="exact"/>
        <w:ind w:firstLine="645"/>
        <w:textAlignment w:val="auto"/>
        <w:rPr>
          <w:rFonts w:ascii="仿宋" w:hAnsi="仿宋" w:eastAsia="仿宋"/>
          <w:color w:val="auto"/>
          <w:sz w:val="32"/>
          <w:szCs w:val="32"/>
        </w:rPr>
      </w:pPr>
      <w:r>
        <w:rPr>
          <w:rFonts w:hint="eastAsia" w:ascii="仿宋" w:hAnsi="仿宋" w:eastAsia="仿宋"/>
          <w:color w:val="auto"/>
          <w:sz w:val="32"/>
          <w:szCs w:val="32"/>
        </w:rPr>
        <w:t>（四）根据工作需要承担相应的义务。</w:t>
      </w:r>
    </w:p>
    <w:p>
      <w:pPr>
        <w:keepNext w:val="0"/>
        <w:keepLines w:val="0"/>
        <w:pageBreakBefore w:val="0"/>
        <w:kinsoku/>
        <w:wordWrap/>
        <w:overflowPunct/>
        <w:topLinePunct w:val="0"/>
        <w:autoSpaceDE/>
        <w:autoSpaceDN/>
        <w:bidi w:val="0"/>
        <w:adjustRightInd/>
        <w:snapToGrid/>
        <w:spacing w:line="560" w:lineRule="exact"/>
        <w:textAlignment w:val="auto"/>
        <w:rPr>
          <w:rFonts w:ascii="仿宋" w:hAnsi="仿宋" w:eastAsia="仿宋"/>
          <w:color w:val="auto"/>
          <w:sz w:val="32"/>
          <w:szCs w:val="32"/>
        </w:rPr>
      </w:pPr>
      <w:r>
        <w:rPr>
          <w:rFonts w:hint="eastAsia" w:ascii="仿宋" w:hAnsi="仿宋" w:eastAsia="仿宋"/>
          <w:color w:val="auto"/>
          <w:sz w:val="32"/>
          <w:szCs w:val="32"/>
        </w:rPr>
        <w:t>　</w:t>
      </w:r>
    </w:p>
    <w:p>
      <w:pPr>
        <w:keepNext w:val="0"/>
        <w:keepLines w:val="0"/>
        <w:pageBreakBefore w:val="0"/>
        <w:kinsoku/>
        <w:wordWrap/>
        <w:overflowPunct/>
        <w:topLinePunct w:val="0"/>
        <w:autoSpaceDE/>
        <w:autoSpaceDN/>
        <w:bidi w:val="0"/>
        <w:adjustRightInd/>
        <w:snapToGrid/>
        <w:spacing w:line="560" w:lineRule="exact"/>
        <w:jc w:val="center"/>
        <w:textAlignment w:val="auto"/>
        <w:rPr>
          <w:rFonts w:asciiTheme="minorEastAsia" w:hAnsiTheme="minorEastAsia" w:eastAsiaTheme="minorEastAsia"/>
          <w:b/>
          <w:color w:val="auto"/>
          <w:sz w:val="32"/>
          <w:szCs w:val="32"/>
        </w:rPr>
      </w:pPr>
      <w:r>
        <w:rPr>
          <w:rFonts w:hint="eastAsia" w:asciiTheme="minorEastAsia" w:hAnsiTheme="minorEastAsia" w:eastAsiaTheme="minorEastAsia"/>
          <w:b/>
          <w:color w:val="auto"/>
          <w:sz w:val="32"/>
          <w:szCs w:val="32"/>
        </w:rPr>
        <w:t>第四章  管理与程序</w:t>
      </w:r>
    </w:p>
    <w:p>
      <w:pPr>
        <w:keepNext w:val="0"/>
        <w:keepLines w:val="0"/>
        <w:pageBreakBefore w:val="0"/>
        <w:kinsoku/>
        <w:wordWrap/>
        <w:overflowPunct/>
        <w:topLinePunct w:val="0"/>
        <w:autoSpaceDE/>
        <w:autoSpaceDN/>
        <w:bidi w:val="0"/>
        <w:adjustRightInd/>
        <w:snapToGrid/>
        <w:spacing w:line="560" w:lineRule="exact"/>
        <w:ind w:firstLine="645"/>
        <w:textAlignment w:val="auto"/>
        <w:rPr>
          <w:rFonts w:ascii="仿宋" w:hAnsi="仿宋" w:eastAsia="仿宋"/>
          <w:color w:val="auto"/>
          <w:sz w:val="32"/>
          <w:szCs w:val="32"/>
        </w:rPr>
      </w:pPr>
      <w:r>
        <w:rPr>
          <w:rFonts w:hint="eastAsia" w:ascii="仿宋" w:hAnsi="仿宋" w:eastAsia="仿宋"/>
          <w:color w:val="auto"/>
          <w:sz w:val="32"/>
          <w:szCs w:val="32"/>
        </w:rPr>
        <w:t>第九条 协会秘书处建立专家管理系统，对专家委员会实行动态管理。专家因工作调动、职务变化或联系方式等造成基本信息发生变化的，原推荐单位应及时通知</w:t>
      </w:r>
      <w:r>
        <w:rPr>
          <w:rFonts w:hint="eastAsia" w:ascii="仿宋" w:hAnsi="仿宋" w:eastAsia="仿宋"/>
          <w:color w:val="auto"/>
          <w:sz w:val="32"/>
          <w:szCs w:val="32"/>
          <w:lang w:eastAsia="zh-CN"/>
        </w:rPr>
        <w:t>专家委员会</w:t>
      </w:r>
      <w:r>
        <w:rPr>
          <w:rFonts w:hint="eastAsia" w:ascii="仿宋" w:hAnsi="仿宋" w:eastAsia="仿宋"/>
          <w:color w:val="auto"/>
          <w:sz w:val="32"/>
          <w:szCs w:val="32"/>
        </w:rPr>
        <w:t>。</w:t>
      </w:r>
    </w:p>
    <w:p>
      <w:pPr>
        <w:keepNext w:val="0"/>
        <w:keepLines w:val="0"/>
        <w:pageBreakBefore w:val="0"/>
        <w:kinsoku/>
        <w:wordWrap/>
        <w:overflowPunct/>
        <w:topLinePunct w:val="0"/>
        <w:autoSpaceDE/>
        <w:autoSpaceDN/>
        <w:bidi w:val="0"/>
        <w:adjustRightInd/>
        <w:snapToGrid/>
        <w:spacing w:line="560" w:lineRule="exact"/>
        <w:ind w:firstLine="645"/>
        <w:textAlignment w:val="auto"/>
        <w:rPr>
          <w:rFonts w:ascii="仿宋" w:hAnsi="仿宋" w:eastAsia="仿宋"/>
          <w:color w:val="auto"/>
          <w:sz w:val="32"/>
          <w:szCs w:val="32"/>
        </w:rPr>
      </w:pPr>
      <w:r>
        <w:rPr>
          <w:rFonts w:hint="eastAsia" w:ascii="仿宋" w:hAnsi="仿宋" w:eastAsia="仿宋"/>
          <w:color w:val="auto"/>
          <w:sz w:val="32"/>
          <w:szCs w:val="32"/>
        </w:rPr>
        <w:t>第十条 专家委员会成员实行聘任制，专家委委员聘期与每届协会理事会任期相同。</w:t>
      </w:r>
    </w:p>
    <w:p>
      <w:pPr>
        <w:keepNext w:val="0"/>
        <w:keepLines w:val="0"/>
        <w:pageBreakBefore w:val="0"/>
        <w:kinsoku/>
        <w:wordWrap/>
        <w:overflowPunct/>
        <w:topLinePunct w:val="0"/>
        <w:autoSpaceDE/>
        <w:autoSpaceDN/>
        <w:bidi w:val="0"/>
        <w:adjustRightInd/>
        <w:snapToGrid/>
        <w:spacing w:line="560" w:lineRule="exact"/>
        <w:ind w:firstLine="645"/>
        <w:textAlignment w:val="auto"/>
        <w:rPr>
          <w:rFonts w:ascii="仿宋" w:hAnsi="仿宋" w:eastAsia="仿宋"/>
          <w:color w:val="auto"/>
          <w:sz w:val="32"/>
          <w:szCs w:val="32"/>
        </w:rPr>
      </w:pPr>
      <w:r>
        <w:rPr>
          <w:rFonts w:hint="eastAsia" w:ascii="仿宋" w:hAnsi="仿宋" w:eastAsia="仿宋"/>
          <w:color w:val="auto"/>
          <w:sz w:val="32"/>
          <w:szCs w:val="32"/>
        </w:rPr>
        <w:t>第十一条  有下列情况之一的，经会长办公会审定，终止其专家资格：</w:t>
      </w:r>
    </w:p>
    <w:p>
      <w:pPr>
        <w:pStyle w:val="10"/>
        <w:keepNext w:val="0"/>
        <w:keepLines w:val="0"/>
        <w:pageBreakBefore w:val="0"/>
        <w:numPr>
          <w:ilvl w:val="0"/>
          <w:numId w:val="1"/>
        </w:numPr>
        <w:kinsoku/>
        <w:wordWrap/>
        <w:overflowPunct/>
        <w:topLinePunct w:val="0"/>
        <w:autoSpaceDE/>
        <w:autoSpaceDN/>
        <w:bidi w:val="0"/>
        <w:adjustRightInd/>
        <w:snapToGrid/>
        <w:spacing w:line="560" w:lineRule="exact"/>
        <w:ind w:firstLineChars="0"/>
        <w:textAlignment w:val="auto"/>
        <w:rPr>
          <w:rFonts w:ascii="仿宋" w:hAnsi="仿宋" w:eastAsia="仿宋"/>
          <w:color w:val="auto"/>
          <w:sz w:val="32"/>
          <w:szCs w:val="32"/>
        </w:rPr>
      </w:pPr>
      <w:r>
        <w:rPr>
          <w:rFonts w:hint="eastAsia" w:ascii="仿宋" w:hAnsi="仿宋" w:eastAsia="仿宋"/>
          <w:color w:val="auto"/>
          <w:sz w:val="32"/>
          <w:szCs w:val="32"/>
        </w:rPr>
        <w:t>因身体健康原因不能继续胜任专家工作的；　</w:t>
      </w:r>
    </w:p>
    <w:p>
      <w:pPr>
        <w:pStyle w:val="10"/>
        <w:keepNext w:val="0"/>
        <w:keepLines w:val="0"/>
        <w:pageBreakBefore w:val="0"/>
        <w:numPr>
          <w:ilvl w:val="0"/>
          <w:numId w:val="1"/>
        </w:numPr>
        <w:kinsoku/>
        <w:wordWrap/>
        <w:overflowPunct/>
        <w:topLinePunct w:val="0"/>
        <w:autoSpaceDE/>
        <w:autoSpaceDN/>
        <w:bidi w:val="0"/>
        <w:adjustRightInd/>
        <w:snapToGrid/>
        <w:spacing w:line="560" w:lineRule="exact"/>
        <w:ind w:firstLineChars="0"/>
        <w:textAlignment w:val="auto"/>
        <w:rPr>
          <w:rFonts w:ascii="仿宋" w:hAnsi="仿宋" w:eastAsia="仿宋"/>
          <w:color w:val="auto"/>
          <w:sz w:val="32"/>
          <w:szCs w:val="32"/>
        </w:rPr>
      </w:pPr>
      <w:r>
        <w:rPr>
          <w:rFonts w:hint="eastAsia" w:ascii="仿宋" w:hAnsi="仿宋" w:eastAsia="仿宋"/>
          <w:color w:val="auto"/>
          <w:sz w:val="32"/>
          <w:szCs w:val="32"/>
        </w:rPr>
        <w:t>因工作变动不再适宜专家工作的；</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olor w:val="auto"/>
          <w:sz w:val="32"/>
          <w:szCs w:val="32"/>
        </w:rPr>
      </w:pPr>
      <w:r>
        <w:rPr>
          <w:rFonts w:hint="eastAsia" w:ascii="仿宋" w:hAnsi="仿宋" w:eastAsia="仿宋"/>
          <w:color w:val="auto"/>
          <w:sz w:val="32"/>
          <w:szCs w:val="32"/>
          <w:lang w:eastAsia="zh-CN"/>
        </w:rPr>
        <w:t>（三）</w:t>
      </w:r>
      <w:r>
        <w:rPr>
          <w:rFonts w:hint="eastAsia" w:ascii="仿宋" w:hAnsi="仿宋" w:eastAsia="仿宋"/>
          <w:color w:val="auto"/>
          <w:sz w:val="32"/>
          <w:szCs w:val="32"/>
        </w:rPr>
        <w:t>因专家所在单位或其本人书面提出要求不再担任专家工作的。</w:t>
      </w:r>
    </w:p>
    <w:p>
      <w:pPr>
        <w:keepNext w:val="0"/>
        <w:keepLines w:val="0"/>
        <w:pageBreakBefore w:val="0"/>
        <w:numPr>
          <w:ilvl w:val="0"/>
          <w:numId w:val="1"/>
        </w:numPr>
        <w:kinsoku/>
        <w:wordWrap/>
        <w:overflowPunct/>
        <w:topLinePunct w:val="0"/>
        <w:autoSpaceDE/>
        <w:autoSpaceDN/>
        <w:bidi w:val="0"/>
        <w:adjustRightInd/>
        <w:snapToGrid/>
        <w:spacing w:line="560" w:lineRule="exact"/>
        <w:ind w:left="1725" w:leftChars="0" w:hanging="1080" w:firstLineChars="0"/>
        <w:textAlignment w:val="auto"/>
        <w:rPr>
          <w:rFonts w:hint="eastAsia" w:ascii="仿宋" w:hAnsi="仿宋" w:eastAsia="仿宋"/>
          <w:color w:val="auto"/>
          <w:sz w:val="32"/>
          <w:szCs w:val="32"/>
        </w:rPr>
      </w:pPr>
      <w:r>
        <w:rPr>
          <w:rFonts w:hint="eastAsia" w:ascii="仿宋" w:hAnsi="仿宋" w:eastAsia="仿宋"/>
          <w:color w:val="auto"/>
          <w:sz w:val="32"/>
          <w:szCs w:val="32"/>
          <w:lang w:eastAsia="zh-CN"/>
        </w:rPr>
        <w:t>其它</w:t>
      </w:r>
      <w:r>
        <w:rPr>
          <w:rFonts w:hint="eastAsia" w:ascii="仿宋" w:hAnsi="仿宋" w:eastAsia="仿宋"/>
          <w:color w:val="auto"/>
          <w:sz w:val="32"/>
          <w:szCs w:val="32"/>
          <w:lang w:val="en-US" w:eastAsia="zh-CN"/>
        </w:rPr>
        <w:t xml:space="preserve"> 。</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 w:hAnsi="仿宋" w:eastAsia="仿宋"/>
          <w:color w:val="auto"/>
          <w:sz w:val="32"/>
          <w:szCs w:val="32"/>
        </w:rPr>
      </w:pPr>
      <w:r>
        <w:rPr>
          <w:rFonts w:hint="eastAsia" w:ascii="仿宋" w:hAnsi="仿宋" w:eastAsia="仿宋"/>
          <w:color w:val="auto"/>
          <w:sz w:val="32"/>
          <w:szCs w:val="32"/>
        </w:rPr>
        <w:t>第十二条  专家有下列之一的，将取消专家资格，解除聘任，并予以公告：</w:t>
      </w:r>
    </w:p>
    <w:p>
      <w:pPr>
        <w:keepNext w:val="0"/>
        <w:keepLines w:val="0"/>
        <w:pageBreakBefore w:val="0"/>
        <w:kinsoku/>
        <w:wordWrap/>
        <w:overflowPunct/>
        <w:topLinePunct w:val="0"/>
        <w:autoSpaceDE/>
        <w:autoSpaceDN/>
        <w:bidi w:val="0"/>
        <w:adjustRightInd/>
        <w:snapToGrid/>
        <w:spacing w:line="560" w:lineRule="exact"/>
        <w:ind w:firstLine="645"/>
        <w:textAlignment w:val="auto"/>
        <w:rPr>
          <w:rFonts w:ascii="仿宋" w:hAnsi="仿宋" w:eastAsia="仿宋"/>
          <w:color w:val="auto"/>
          <w:sz w:val="32"/>
          <w:szCs w:val="32"/>
        </w:rPr>
      </w:pPr>
      <w:r>
        <w:rPr>
          <w:rFonts w:hint="eastAsia" w:ascii="仿宋" w:hAnsi="仿宋" w:eastAsia="仿宋"/>
          <w:color w:val="auto"/>
          <w:sz w:val="32"/>
          <w:szCs w:val="32"/>
        </w:rPr>
        <w:t>（一）参加协会委托的评优评选、诚信评价、监理巡查等工作时，有徇私舞弊、索贿受贿或个人评审意见严重有失公平、公正的；</w:t>
      </w:r>
    </w:p>
    <w:p>
      <w:pPr>
        <w:keepNext w:val="0"/>
        <w:keepLines w:val="0"/>
        <w:pageBreakBefore w:val="0"/>
        <w:kinsoku/>
        <w:wordWrap/>
        <w:overflowPunct/>
        <w:topLinePunct w:val="0"/>
        <w:autoSpaceDE/>
        <w:autoSpaceDN/>
        <w:bidi w:val="0"/>
        <w:adjustRightInd/>
        <w:snapToGrid/>
        <w:spacing w:line="560" w:lineRule="exact"/>
        <w:ind w:firstLine="645"/>
        <w:textAlignment w:val="auto"/>
        <w:rPr>
          <w:rFonts w:ascii="仿宋" w:hAnsi="仿宋" w:eastAsia="仿宋"/>
          <w:color w:val="auto"/>
          <w:sz w:val="32"/>
          <w:szCs w:val="32"/>
        </w:rPr>
      </w:pPr>
      <w:r>
        <w:rPr>
          <w:rFonts w:hint="eastAsia" w:ascii="仿宋" w:hAnsi="仿宋" w:eastAsia="仿宋"/>
          <w:color w:val="auto"/>
          <w:sz w:val="32"/>
          <w:szCs w:val="32"/>
        </w:rPr>
        <w:t>（二） 工作中违反国家法律、法规，被追究法律责任的；</w:t>
      </w:r>
    </w:p>
    <w:p>
      <w:pPr>
        <w:keepNext w:val="0"/>
        <w:keepLines w:val="0"/>
        <w:pageBreakBefore w:val="0"/>
        <w:kinsoku/>
        <w:wordWrap/>
        <w:overflowPunct/>
        <w:topLinePunct w:val="0"/>
        <w:autoSpaceDE/>
        <w:autoSpaceDN/>
        <w:bidi w:val="0"/>
        <w:adjustRightInd/>
        <w:snapToGrid/>
        <w:spacing w:line="560" w:lineRule="exact"/>
        <w:ind w:firstLine="645"/>
        <w:textAlignment w:val="auto"/>
        <w:rPr>
          <w:rFonts w:ascii="仿宋" w:hAnsi="仿宋" w:eastAsia="仿宋"/>
          <w:color w:val="auto"/>
          <w:sz w:val="32"/>
          <w:szCs w:val="32"/>
        </w:rPr>
      </w:pPr>
      <w:r>
        <w:rPr>
          <w:rFonts w:hint="eastAsia" w:ascii="仿宋" w:hAnsi="仿宋" w:eastAsia="仿宋"/>
          <w:color w:val="auto"/>
          <w:sz w:val="32"/>
          <w:szCs w:val="32"/>
        </w:rPr>
        <w:t>（三）参与有保密要求的活动而泄露信息的；</w:t>
      </w:r>
    </w:p>
    <w:p>
      <w:pPr>
        <w:keepNext w:val="0"/>
        <w:keepLines w:val="0"/>
        <w:pageBreakBefore w:val="0"/>
        <w:kinsoku/>
        <w:wordWrap/>
        <w:overflowPunct/>
        <w:topLinePunct w:val="0"/>
        <w:autoSpaceDE/>
        <w:autoSpaceDN/>
        <w:bidi w:val="0"/>
        <w:adjustRightInd/>
        <w:snapToGrid/>
        <w:spacing w:line="560" w:lineRule="exact"/>
        <w:ind w:firstLine="645"/>
        <w:textAlignment w:val="auto"/>
        <w:rPr>
          <w:rFonts w:ascii="仿宋" w:hAnsi="仿宋" w:eastAsia="仿宋"/>
          <w:color w:val="auto"/>
          <w:sz w:val="32"/>
          <w:szCs w:val="32"/>
        </w:rPr>
      </w:pPr>
      <w:r>
        <w:rPr>
          <w:rFonts w:hint="eastAsia" w:ascii="仿宋" w:hAnsi="仿宋" w:eastAsia="仿宋"/>
          <w:color w:val="auto"/>
          <w:sz w:val="32"/>
          <w:szCs w:val="32"/>
        </w:rPr>
        <w:t>（四） 连续3次不参加专家活动而又不能说明正当理由的。</w:t>
      </w:r>
    </w:p>
    <w:p>
      <w:pPr>
        <w:keepNext w:val="0"/>
        <w:keepLines w:val="0"/>
        <w:pageBreakBefore w:val="0"/>
        <w:kinsoku/>
        <w:wordWrap/>
        <w:overflowPunct/>
        <w:topLinePunct w:val="0"/>
        <w:autoSpaceDE/>
        <w:autoSpaceDN/>
        <w:bidi w:val="0"/>
        <w:adjustRightInd/>
        <w:snapToGrid/>
        <w:spacing w:line="560" w:lineRule="exact"/>
        <w:ind w:firstLine="645"/>
        <w:textAlignment w:val="auto"/>
        <w:rPr>
          <w:rFonts w:ascii="仿宋" w:hAnsi="仿宋" w:eastAsia="仿宋"/>
          <w:color w:val="auto"/>
          <w:sz w:val="32"/>
          <w:szCs w:val="32"/>
        </w:rPr>
      </w:pPr>
      <w:r>
        <w:rPr>
          <w:rFonts w:hint="eastAsia" w:ascii="仿宋" w:hAnsi="仿宋" w:eastAsia="仿宋"/>
          <w:color w:val="auto"/>
          <w:sz w:val="32"/>
          <w:szCs w:val="32"/>
        </w:rPr>
        <w:t>第十三条  专家委员会每年召开一次会议，总结、研究用部署工作。</w:t>
      </w:r>
    </w:p>
    <w:p>
      <w:pPr>
        <w:keepNext w:val="0"/>
        <w:keepLines w:val="0"/>
        <w:pageBreakBefore w:val="0"/>
        <w:kinsoku/>
        <w:wordWrap/>
        <w:overflowPunct/>
        <w:topLinePunct w:val="0"/>
        <w:autoSpaceDE/>
        <w:autoSpaceDN/>
        <w:bidi w:val="0"/>
        <w:adjustRightInd/>
        <w:snapToGrid/>
        <w:spacing w:line="560" w:lineRule="exact"/>
        <w:ind w:firstLine="645"/>
        <w:textAlignment w:val="auto"/>
        <w:rPr>
          <w:rFonts w:ascii="仿宋" w:hAnsi="仿宋" w:eastAsia="仿宋"/>
          <w:color w:val="auto"/>
          <w:sz w:val="32"/>
          <w:szCs w:val="32"/>
        </w:rPr>
      </w:pPr>
      <w:r>
        <w:rPr>
          <w:rFonts w:hint="eastAsia" w:ascii="仿宋" w:hAnsi="仿宋" w:eastAsia="仿宋"/>
          <w:color w:val="auto"/>
          <w:sz w:val="32"/>
          <w:szCs w:val="32"/>
        </w:rPr>
        <w:t>第十四条 各专家组每年底要向专家委员上报年度工作总结和下一年度工作计划。</w:t>
      </w:r>
    </w:p>
    <w:p>
      <w:pPr>
        <w:keepNext w:val="0"/>
        <w:keepLines w:val="0"/>
        <w:pageBreakBefore w:val="0"/>
        <w:kinsoku/>
        <w:wordWrap/>
        <w:overflowPunct/>
        <w:topLinePunct w:val="0"/>
        <w:autoSpaceDE/>
        <w:autoSpaceDN/>
        <w:bidi w:val="0"/>
        <w:adjustRightInd/>
        <w:snapToGrid/>
        <w:spacing w:line="560" w:lineRule="exact"/>
        <w:textAlignment w:val="auto"/>
        <w:rPr>
          <w:rFonts w:ascii="仿宋" w:hAnsi="仿宋" w:eastAsia="仿宋"/>
          <w:color w:val="auto"/>
          <w:sz w:val="32"/>
          <w:szCs w:val="32"/>
        </w:rPr>
      </w:pPr>
      <w:r>
        <w:rPr>
          <w:rFonts w:hint="eastAsia" w:ascii="仿宋" w:hAnsi="仿宋" w:eastAsia="仿宋"/>
          <w:color w:val="auto"/>
          <w:sz w:val="32"/>
          <w:szCs w:val="32"/>
        </w:rPr>
        <w:t>　　第十五条 未经专家委员会许可，专家成员不得私自以专家委员会的名义组织任何活动。</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 w:hAnsi="仿宋" w:eastAsia="仿宋"/>
          <w:color w:val="auto"/>
          <w:sz w:val="32"/>
          <w:szCs w:val="32"/>
        </w:rPr>
      </w:pPr>
      <w:r>
        <w:rPr>
          <w:rFonts w:hint="eastAsia" w:ascii="仿宋" w:hAnsi="仿宋" w:eastAsia="仿宋"/>
          <w:color w:val="auto"/>
          <w:sz w:val="32"/>
          <w:szCs w:val="32"/>
        </w:rPr>
        <w:t>第十六条  专家委员会的工作程序</w:t>
      </w:r>
    </w:p>
    <w:p>
      <w:pPr>
        <w:keepNext w:val="0"/>
        <w:keepLines w:val="0"/>
        <w:pageBreakBefore w:val="0"/>
        <w:kinsoku/>
        <w:wordWrap/>
        <w:overflowPunct/>
        <w:topLinePunct w:val="0"/>
        <w:autoSpaceDE/>
        <w:autoSpaceDN/>
        <w:bidi w:val="0"/>
        <w:adjustRightInd/>
        <w:snapToGrid/>
        <w:spacing w:line="560" w:lineRule="exact"/>
        <w:ind w:firstLine="645"/>
        <w:textAlignment w:val="auto"/>
        <w:rPr>
          <w:rFonts w:ascii="仿宋" w:hAnsi="仿宋" w:eastAsia="仿宋"/>
          <w:color w:val="auto"/>
          <w:sz w:val="32"/>
          <w:szCs w:val="32"/>
        </w:rPr>
      </w:pPr>
      <w:r>
        <w:rPr>
          <w:rFonts w:hint="eastAsia" w:ascii="仿宋" w:hAnsi="仿宋" w:eastAsia="仿宋"/>
          <w:color w:val="auto"/>
          <w:sz w:val="32"/>
          <w:szCs w:val="32"/>
        </w:rPr>
        <w:t>（一）根据专家委员会年度工作计划，制定细则；</w:t>
      </w:r>
    </w:p>
    <w:p>
      <w:pPr>
        <w:keepNext w:val="0"/>
        <w:keepLines w:val="0"/>
        <w:pageBreakBefore w:val="0"/>
        <w:kinsoku/>
        <w:wordWrap/>
        <w:overflowPunct/>
        <w:topLinePunct w:val="0"/>
        <w:autoSpaceDE/>
        <w:autoSpaceDN/>
        <w:bidi w:val="0"/>
        <w:adjustRightInd/>
        <w:snapToGrid/>
        <w:spacing w:line="560" w:lineRule="exact"/>
        <w:ind w:firstLine="645"/>
        <w:textAlignment w:val="auto"/>
        <w:rPr>
          <w:rFonts w:ascii="仿宋" w:hAnsi="仿宋" w:eastAsia="仿宋"/>
          <w:color w:val="auto"/>
          <w:sz w:val="32"/>
          <w:szCs w:val="32"/>
        </w:rPr>
      </w:pPr>
      <w:r>
        <w:rPr>
          <w:rFonts w:hint="eastAsia" w:ascii="仿宋" w:hAnsi="仿宋" w:eastAsia="仿宋"/>
          <w:color w:val="auto"/>
          <w:sz w:val="32"/>
          <w:szCs w:val="32"/>
        </w:rPr>
        <w:t>（二） 根据工作任务的特点、规模确定专项工作组人选；</w:t>
      </w:r>
    </w:p>
    <w:p>
      <w:pPr>
        <w:keepNext w:val="0"/>
        <w:keepLines w:val="0"/>
        <w:pageBreakBefore w:val="0"/>
        <w:kinsoku/>
        <w:wordWrap/>
        <w:overflowPunct/>
        <w:topLinePunct w:val="0"/>
        <w:autoSpaceDE/>
        <w:autoSpaceDN/>
        <w:bidi w:val="0"/>
        <w:adjustRightInd/>
        <w:snapToGrid/>
        <w:spacing w:line="560" w:lineRule="exact"/>
        <w:textAlignment w:val="auto"/>
        <w:rPr>
          <w:rFonts w:ascii="仿宋" w:hAnsi="仿宋" w:eastAsia="仿宋"/>
          <w:color w:val="auto"/>
          <w:sz w:val="32"/>
          <w:szCs w:val="32"/>
        </w:rPr>
      </w:pPr>
      <w:r>
        <w:rPr>
          <w:rFonts w:hint="eastAsia" w:ascii="仿宋" w:hAnsi="仿宋" w:eastAsia="仿宋"/>
          <w:color w:val="auto"/>
          <w:sz w:val="32"/>
          <w:szCs w:val="32"/>
        </w:rPr>
        <w:t>　　（三）根据工作的内容，采取调研、讨论和审议等方式开展工作。需审议的事项按少数服从多数的原则进行表决；</w:t>
      </w:r>
    </w:p>
    <w:p>
      <w:pPr>
        <w:keepNext w:val="0"/>
        <w:keepLines w:val="0"/>
        <w:pageBreakBefore w:val="0"/>
        <w:kinsoku/>
        <w:wordWrap/>
        <w:overflowPunct/>
        <w:topLinePunct w:val="0"/>
        <w:autoSpaceDE/>
        <w:autoSpaceDN/>
        <w:bidi w:val="0"/>
        <w:adjustRightInd/>
        <w:snapToGrid/>
        <w:spacing w:line="560" w:lineRule="exact"/>
        <w:textAlignment w:val="auto"/>
        <w:rPr>
          <w:rFonts w:ascii="仿宋" w:hAnsi="仿宋" w:eastAsia="仿宋"/>
          <w:color w:val="auto"/>
          <w:sz w:val="32"/>
          <w:szCs w:val="32"/>
        </w:rPr>
      </w:pPr>
      <w:r>
        <w:rPr>
          <w:rFonts w:hint="eastAsia" w:ascii="仿宋" w:hAnsi="仿宋" w:eastAsia="仿宋"/>
          <w:color w:val="auto"/>
          <w:sz w:val="32"/>
          <w:szCs w:val="32"/>
        </w:rPr>
        <w:t>　　（四）专家委员会应每年向协会常务理事会提交年度工作总结和下一年度工作计划；</w:t>
      </w:r>
    </w:p>
    <w:p>
      <w:pPr>
        <w:keepNext w:val="0"/>
        <w:keepLines w:val="0"/>
        <w:pageBreakBefore w:val="0"/>
        <w:kinsoku/>
        <w:wordWrap/>
        <w:overflowPunct/>
        <w:topLinePunct w:val="0"/>
        <w:autoSpaceDE/>
        <w:autoSpaceDN/>
        <w:bidi w:val="0"/>
        <w:adjustRightInd/>
        <w:snapToGrid/>
        <w:spacing w:line="560" w:lineRule="exact"/>
        <w:textAlignment w:val="auto"/>
        <w:rPr>
          <w:rFonts w:ascii="仿宋" w:hAnsi="仿宋" w:eastAsia="仿宋"/>
          <w:color w:val="auto"/>
          <w:sz w:val="32"/>
          <w:szCs w:val="32"/>
        </w:rPr>
      </w:pPr>
      <w:r>
        <w:rPr>
          <w:rFonts w:hint="eastAsia" w:ascii="仿宋" w:hAnsi="仿宋" w:eastAsia="仿宋"/>
          <w:color w:val="auto"/>
          <w:sz w:val="32"/>
          <w:szCs w:val="32"/>
        </w:rPr>
        <w:t>　　（五）专家委员会研究成果在公开发表前，应报送省建设监理协会备案。</w:t>
      </w:r>
    </w:p>
    <w:p>
      <w:pPr>
        <w:keepNext w:val="0"/>
        <w:keepLines w:val="0"/>
        <w:pageBreakBefore w:val="0"/>
        <w:kinsoku/>
        <w:wordWrap/>
        <w:overflowPunct/>
        <w:topLinePunct w:val="0"/>
        <w:autoSpaceDE/>
        <w:autoSpaceDN/>
        <w:bidi w:val="0"/>
        <w:adjustRightInd/>
        <w:snapToGrid/>
        <w:spacing w:line="560" w:lineRule="exact"/>
        <w:jc w:val="center"/>
        <w:textAlignment w:val="auto"/>
        <w:rPr>
          <w:rFonts w:asciiTheme="minorEastAsia" w:hAnsiTheme="minorEastAsia" w:eastAsiaTheme="minorEastAsia"/>
          <w:b/>
          <w:color w:val="auto"/>
          <w:sz w:val="32"/>
          <w:szCs w:val="32"/>
        </w:rPr>
      </w:pPr>
      <w:r>
        <w:rPr>
          <w:rFonts w:hint="eastAsia" w:asciiTheme="minorEastAsia" w:hAnsiTheme="minorEastAsia" w:eastAsiaTheme="minorEastAsia"/>
          <w:b/>
          <w:color w:val="auto"/>
          <w:sz w:val="32"/>
          <w:szCs w:val="32"/>
        </w:rPr>
        <w:t>第五章  经费管理</w:t>
      </w:r>
    </w:p>
    <w:p>
      <w:pPr>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仿宋" w:hAnsi="仿宋" w:eastAsia="仿宋"/>
          <w:color w:val="auto"/>
          <w:sz w:val="32"/>
          <w:szCs w:val="32"/>
          <w:lang w:eastAsia="zh-CN"/>
        </w:rPr>
      </w:pPr>
      <w:r>
        <w:rPr>
          <w:rFonts w:hint="eastAsia" w:ascii="仿宋" w:hAnsi="仿宋" w:eastAsia="仿宋"/>
          <w:color w:val="auto"/>
          <w:sz w:val="32"/>
          <w:szCs w:val="32"/>
        </w:rPr>
        <w:t xml:space="preserve">第十七条 </w:t>
      </w:r>
      <w:r>
        <w:rPr>
          <w:rFonts w:hint="eastAsia" w:ascii="仿宋" w:hAnsi="仿宋" w:eastAsia="仿宋"/>
          <w:color w:val="auto"/>
          <w:sz w:val="32"/>
          <w:szCs w:val="32"/>
          <w:lang w:eastAsia="zh-CN"/>
        </w:rPr>
        <w:t>行业专家均为兼职。专家委根据工作安排，按照“一事一议”的原则，从专家委库中选取专家开展相应工作并支付报酬。</w:t>
      </w:r>
    </w:p>
    <w:p>
      <w:pPr>
        <w:keepNext w:val="0"/>
        <w:keepLines w:val="0"/>
        <w:pageBreakBefore w:val="0"/>
        <w:kinsoku/>
        <w:wordWrap/>
        <w:overflowPunct/>
        <w:topLinePunct w:val="0"/>
        <w:autoSpaceDE/>
        <w:autoSpaceDN/>
        <w:bidi w:val="0"/>
        <w:adjustRightInd/>
        <w:snapToGrid/>
        <w:spacing w:line="560" w:lineRule="exact"/>
        <w:ind w:firstLine="640"/>
        <w:textAlignment w:val="auto"/>
        <w:rPr>
          <w:rFonts w:ascii="仿宋" w:hAnsi="仿宋" w:eastAsia="仿宋"/>
          <w:color w:val="auto"/>
          <w:sz w:val="32"/>
          <w:szCs w:val="32"/>
        </w:rPr>
      </w:pPr>
      <w:r>
        <w:rPr>
          <w:rFonts w:hint="eastAsia" w:ascii="仿宋" w:hAnsi="仿宋" w:eastAsia="仿宋"/>
          <w:color w:val="auto"/>
          <w:sz w:val="32"/>
          <w:szCs w:val="32"/>
        </w:rPr>
        <w:t>第十</w:t>
      </w:r>
      <w:r>
        <w:rPr>
          <w:rFonts w:hint="eastAsia" w:ascii="仿宋" w:hAnsi="仿宋" w:eastAsia="仿宋"/>
          <w:color w:val="auto"/>
          <w:sz w:val="32"/>
          <w:szCs w:val="32"/>
          <w:lang w:eastAsia="zh-CN"/>
        </w:rPr>
        <w:t>八</w:t>
      </w:r>
      <w:r>
        <w:rPr>
          <w:rFonts w:hint="eastAsia" w:ascii="仿宋" w:hAnsi="仿宋" w:eastAsia="仿宋"/>
          <w:color w:val="auto"/>
          <w:sz w:val="32"/>
          <w:szCs w:val="32"/>
        </w:rPr>
        <w:t>条</w:t>
      </w:r>
      <w:r>
        <w:rPr>
          <w:rFonts w:hint="eastAsia" w:ascii="仿宋" w:hAnsi="仿宋" w:eastAsia="仿宋"/>
          <w:color w:val="auto"/>
          <w:sz w:val="32"/>
          <w:szCs w:val="32"/>
          <w:lang w:val="en-US" w:eastAsia="zh-CN"/>
        </w:rPr>
        <w:t xml:space="preserve"> </w:t>
      </w:r>
      <w:r>
        <w:rPr>
          <w:rFonts w:hint="eastAsia" w:ascii="仿宋" w:hAnsi="仿宋" w:eastAsia="仿宋"/>
          <w:color w:val="auto"/>
          <w:sz w:val="32"/>
          <w:szCs w:val="32"/>
        </w:rPr>
        <w:t>专家委员会工作经费包括</w:t>
      </w:r>
    </w:p>
    <w:p>
      <w:pPr>
        <w:keepNext w:val="0"/>
        <w:keepLines w:val="0"/>
        <w:pageBreakBefore w:val="0"/>
        <w:kinsoku/>
        <w:wordWrap/>
        <w:overflowPunct/>
        <w:topLinePunct w:val="0"/>
        <w:autoSpaceDE/>
        <w:autoSpaceDN/>
        <w:bidi w:val="0"/>
        <w:adjustRightInd/>
        <w:snapToGrid/>
        <w:spacing w:line="560" w:lineRule="exact"/>
        <w:textAlignment w:val="auto"/>
        <w:rPr>
          <w:rFonts w:ascii="仿宋" w:hAnsi="仿宋" w:eastAsia="仿宋"/>
          <w:color w:val="auto"/>
          <w:sz w:val="32"/>
          <w:szCs w:val="32"/>
        </w:rPr>
      </w:pPr>
      <w:r>
        <w:rPr>
          <w:rFonts w:hint="eastAsia" w:ascii="仿宋" w:hAnsi="仿宋" w:eastAsia="仿宋"/>
          <w:color w:val="auto"/>
          <w:sz w:val="32"/>
          <w:szCs w:val="32"/>
        </w:rPr>
        <w:t>　　（一）协会拨付日常工作经费和专项经费；</w:t>
      </w:r>
    </w:p>
    <w:p>
      <w:pPr>
        <w:keepNext w:val="0"/>
        <w:keepLines w:val="0"/>
        <w:pageBreakBefore w:val="0"/>
        <w:kinsoku/>
        <w:wordWrap/>
        <w:overflowPunct/>
        <w:topLinePunct w:val="0"/>
        <w:autoSpaceDE/>
        <w:autoSpaceDN/>
        <w:bidi w:val="0"/>
        <w:adjustRightInd/>
        <w:snapToGrid/>
        <w:spacing w:line="560" w:lineRule="exact"/>
        <w:textAlignment w:val="auto"/>
        <w:rPr>
          <w:rFonts w:ascii="仿宋" w:hAnsi="仿宋" w:eastAsia="仿宋"/>
          <w:color w:val="auto"/>
          <w:sz w:val="32"/>
          <w:szCs w:val="32"/>
        </w:rPr>
      </w:pPr>
      <w:r>
        <w:rPr>
          <w:rFonts w:hint="eastAsia" w:ascii="仿宋" w:hAnsi="仿宋" w:eastAsia="仿宋"/>
          <w:color w:val="auto"/>
          <w:sz w:val="32"/>
          <w:szCs w:val="32"/>
        </w:rPr>
        <w:t>　　（二）开展课题研究自筹的工作经费；</w:t>
      </w:r>
    </w:p>
    <w:p>
      <w:pPr>
        <w:keepNext w:val="0"/>
        <w:keepLines w:val="0"/>
        <w:pageBreakBefore w:val="0"/>
        <w:kinsoku/>
        <w:wordWrap/>
        <w:overflowPunct/>
        <w:topLinePunct w:val="0"/>
        <w:autoSpaceDE/>
        <w:autoSpaceDN/>
        <w:bidi w:val="0"/>
        <w:adjustRightInd/>
        <w:snapToGrid/>
        <w:spacing w:line="560" w:lineRule="exact"/>
        <w:textAlignment w:val="auto"/>
        <w:rPr>
          <w:rFonts w:ascii="仿宋" w:hAnsi="仿宋" w:eastAsia="仿宋"/>
          <w:color w:val="auto"/>
          <w:sz w:val="32"/>
          <w:szCs w:val="32"/>
        </w:rPr>
      </w:pPr>
      <w:r>
        <w:rPr>
          <w:rFonts w:hint="eastAsia" w:ascii="仿宋" w:hAnsi="仿宋" w:eastAsia="仿宋"/>
          <w:color w:val="auto"/>
          <w:sz w:val="32"/>
          <w:szCs w:val="32"/>
        </w:rPr>
        <w:t>　　（三）开展咨询服务的收入。</w:t>
      </w:r>
    </w:p>
    <w:p>
      <w:pPr>
        <w:keepNext w:val="0"/>
        <w:keepLines w:val="0"/>
        <w:pageBreakBefore w:val="0"/>
        <w:kinsoku/>
        <w:wordWrap/>
        <w:overflowPunct/>
        <w:topLinePunct w:val="0"/>
        <w:autoSpaceDE/>
        <w:autoSpaceDN/>
        <w:bidi w:val="0"/>
        <w:adjustRightInd/>
        <w:snapToGrid/>
        <w:spacing w:line="560" w:lineRule="exact"/>
        <w:textAlignment w:val="auto"/>
        <w:rPr>
          <w:rFonts w:ascii="仿宋" w:hAnsi="仿宋" w:eastAsia="仿宋"/>
          <w:color w:val="auto"/>
          <w:sz w:val="32"/>
          <w:szCs w:val="32"/>
        </w:rPr>
      </w:pPr>
      <w:r>
        <w:rPr>
          <w:rFonts w:hint="eastAsia" w:ascii="仿宋" w:hAnsi="仿宋" w:eastAsia="仿宋"/>
          <w:color w:val="auto"/>
          <w:sz w:val="32"/>
          <w:szCs w:val="32"/>
        </w:rPr>
        <w:t>　　第十</w:t>
      </w:r>
      <w:r>
        <w:rPr>
          <w:rFonts w:hint="eastAsia" w:ascii="仿宋" w:hAnsi="仿宋" w:eastAsia="仿宋"/>
          <w:color w:val="auto"/>
          <w:sz w:val="32"/>
          <w:szCs w:val="32"/>
          <w:lang w:eastAsia="zh-CN"/>
        </w:rPr>
        <w:t>九</w:t>
      </w:r>
      <w:r>
        <w:rPr>
          <w:rFonts w:hint="eastAsia" w:ascii="仿宋" w:hAnsi="仿宋" w:eastAsia="仿宋"/>
          <w:color w:val="auto"/>
          <w:sz w:val="32"/>
          <w:szCs w:val="32"/>
        </w:rPr>
        <w:t>条 专家委员会经费管理</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 w:hAnsi="仿宋" w:eastAsia="仿宋"/>
          <w:color w:val="auto"/>
          <w:sz w:val="32"/>
          <w:szCs w:val="32"/>
        </w:rPr>
      </w:pPr>
      <w:r>
        <w:rPr>
          <w:rFonts w:hint="eastAsia" w:ascii="仿宋" w:hAnsi="仿宋" w:eastAsia="仿宋"/>
          <w:color w:val="auto"/>
          <w:sz w:val="32"/>
          <w:szCs w:val="32"/>
        </w:rPr>
        <w:t>（一）协会财务部负责专家委员会经费收支的统一管理，并实行专款专用；</w:t>
      </w:r>
    </w:p>
    <w:p>
      <w:pPr>
        <w:keepNext w:val="0"/>
        <w:keepLines w:val="0"/>
        <w:pageBreakBefore w:val="0"/>
        <w:kinsoku/>
        <w:wordWrap/>
        <w:overflowPunct/>
        <w:topLinePunct w:val="0"/>
        <w:autoSpaceDE/>
        <w:autoSpaceDN/>
        <w:bidi w:val="0"/>
        <w:adjustRightInd/>
        <w:snapToGrid/>
        <w:spacing w:line="560" w:lineRule="exact"/>
        <w:ind w:firstLine="645"/>
        <w:jc w:val="left"/>
        <w:textAlignment w:val="auto"/>
        <w:rPr>
          <w:rFonts w:hint="eastAsia" w:ascii="仿宋" w:hAnsi="仿宋" w:eastAsia="仿宋"/>
          <w:color w:val="auto"/>
          <w:sz w:val="32"/>
          <w:szCs w:val="32"/>
          <w:lang w:eastAsia="zh-CN"/>
        </w:rPr>
      </w:pPr>
      <w:r>
        <w:rPr>
          <w:rFonts w:hint="eastAsia" w:ascii="仿宋" w:hAnsi="仿宋" w:eastAsia="仿宋"/>
          <w:color w:val="auto"/>
          <w:sz w:val="32"/>
          <w:szCs w:val="32"/>
        </w:rPr>
        <w:t>（二）专家咨询费发放标准参照财政部、科技部</w:t>
      </w:r>
      <w:r>
        <w:rPr>
          <w:rFonts w:hint="eastAsia" w:ascii="仿宋" w:hAnsi="仿宋" w:eastAsia="仿宋"/>
          <w:color w:val="auto"/>
          <w:sz w:val="32"/>
          <w:szCs w:val="32"/>
          <w:lang w:eastAsia="zh-CN"/>
        </w:rPr>
        <w:t>制定的</w:t>
      </w:r>
      <w:r>
        <w:rPr>
          <w:rFonts w:hint="eastAsia" w:ascii="仿宋" w:hAnsi="仿宋" w:eastAsia="仿宋"/>
          <w:color w:val="auto"/>
          <w:sz w:val="32"/>
          <w:szCs w:val="32"/>
        </w:rPr>
        <w:t>《国家科技支撑计划专项经费管理办法》（</w:t>
      </w:r>
      <w:r>
        <w:rPr>
          <w:rFonts w:ascii="仿宋" w:hAnsi="仿宋" w:eastAsia="仿宋" w:cs="宋体"/>
          <w:color w:val="auto"/>
          <w:kern w:val="0"/>
          <w:sz w:val="32"/>
          <w:szCs w:val="32"/>
        </w:rPr>
        <w:t>财教[2006]160号</w:t>
      </w:r>
      <w:r>
        <w:rPr>
          <w:rFonts w:hint="eastAsia" w:ascii="仿宋" w:hAnsi="仿宋" w:eastAsia="仿宋"/>
          <w:color w:val="auto"/>
          <w:sz w:val="32"/>
          <w:szCs w:val="32"/>
        </w:rPr>
        <w:t>）和</w:t>
      </w:r>
      <w:r>
        <w:rPr>
          <w:rFonts w:hint="eastAsia" w:ascii="仿宋" w:hAnsi="仿宋" w:eastAsia="仿宋" w:cs="仿宋"/>
          <w:color w:val="auto"/>
          <w:sz w:val="32"/>
          <w:szCs w:val="32"/>
        </w:rPr>
        <w:t>《湖北省政府采购评审专家管理实施办法》（</w:t>
      </w:r>
      <w:r>
        <w:rPr>
          <w:rFonts w:hint="eastAsia" w:ascii="仿宋" w:hAnsi="仿宋" w:eastAsia="仿宋" w:cs="仿宋"/>
          <w:color w:val="auto"/>
          <w:sz w:val="32"/>
          <w:szCs w:val="32"/>
          <w:shd w:val="clear" w:color="auto" w:fill="FFFFFF"/>
        </w:rPr>
        <w:t>鄂财采</w:t>
      </w:r>
      <w:r>
        <w:rPr>
          <w:rFonts w:hint="eastAsia" w:ascii="仿宋" w:hAnsi="仿宋" w:eastAsia="仿宋" w:cs="仿宋"/>
          <w:color w:val="auto"/>
          <w:sz w:val="32"/>
          <w:szCs w:val="32"/>
          <w:shd w:val="clear" w:color="auto" w:fill="FFFFFF"/>
          <w:lang w:eastAsia="zh-CN"/>
        </w:rPr>
        <w:t>规</w:t>
      </w:r>
      <w:r>
        <w:rPr>
          <w:rFonts w:hint="eastAsia" w:ascii="仿宋" w:hAnsi="仿宋" w:eastAsia="仿宋" w:cs="仿宋"/>
          <w:color w:val="auto"/>
          <w:sz w:val="32"/>
          <w:szCs w:val="32"/>
          <w:shd w:val="clear" w:color="auto" w:fill="FFFFFF"/>
        </w:rPr>
        <w:t>〔20</w:t>
      </w:r>
      <w:r>
        <w:rPr>
          <w:rFonts w:hint="eastAsia" w:ascii="仿宋" w:hAnsi="仿宋" w:eastAsia="仿宋" w:cs="仿宋"/>
          <w:color w:val="auto"/>
          <w:sz w:val="32"/>
          <w:szCs w:val="32"/>
          <w:shd w:val="clear" w:color="auto" w:fill="FFFFFF"/>
          <w:lang w:val="en-US" w:eastAsia="zh-CN"/>
        </w:rPr>
        <w:t>22</w:t>
      </w:r>
      <w:r>
        <w:rPr>
          <w:rFonts w:hint="eastAsia" w:ascii="仿宋" w:hAnsi="仿宋" w:eastAsia="仿宋" w:cs="仿宋"/>
          <w:color w:val="auto"/>
          <w:sz w:val="32"/>
          <w:szCs w:val="32"/>
          <w:shd w:val="clear" w:color="auto" w:fill="FFFFFF"/>
        </w:rPr>
        <w:t>〕</w:t>
      </w:r>
      <w:r>
        <w:rPr>
          <w:rFonts w:hint="eastAsia" w:ascii="仿宋" w:hAnsi="仿宋" w:eastAsia="仿宋" w:cs="仿宋"/>
          <w:color w:val="auto"/>
          <w:sz w:val="32"/>
          <w:szCs w:val="32"/>
          <w:shd w:val="clear" w:color="auto" w:fill="FFFFFF"/>
          <w:lang w:val="en-US" w:eastAsia="zh-CN"/>
        </w:rPr>
        <w:t>1</w:t>
      </w:r>
      <w:r>
        <w:rPr>
          <w:rFonts w:hint="eastAsia" w:ascii="仿宋" w:hAnsi="仿宋" w:eastAsia="仿宋" w:cs="仿宋"/>
          <w:color w:val="auto"/>
          <w:sz w:val="32"/>
          <w:szCs w:val="32"/>
          <w:shd w:val="clear" w:color="auto" w:fill="FFFFFF"/>
        </w:rPr>
        <w:t>号</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相关规定</w:t>
      </w:r>
      <w:r>
        <w:rPr>
          <w:rFonts w:hint="eastAsia" w:ascii="仿宋" w:hAnsi="仿宋" w:eastAsia="仿宋" w:cs="仿宋"/>
          <w:color w:val="auto"/>
          <w:sz w:val="32"/>
          <w:szCs w:val="32"/>
        </w:rPr>
        <w:t>标准执行</w:t>
      </w:r>
      <w:r>
        <w:rPr>
          <w:rFonts w:hint="eastAsia" w:ascii="仿宋" w:hAnsi="仿宋" w:eastAsia="仿宋"/>
          <w:color w:val="auto"/>
          <w:sz w:val="32"/>
          <w:szCs w:val="32"/>
        </w:rPr>
        <w:t>。</w:t>
      </w:r>
      <w:r>
        <w:rPr>
          <w:rFonts w:hint="eastAsia" w:ascii="仿宋" w:hAnsi="仿宋" w:eastAsia="仿宋"/>
          <w:color w:val="auto"/>
          <w:sz w:val="32"/>
          <w:szCs w:val="32"/>
          <w:lang w:eastAsia="zh-CN"/>
        </w:rPr>
        <w:t>政府</w:t>
      </w:r>
      <w:r>
        <w:rPr>
          <w:rFonts w:hint="eastAsia" w:ascii="仿宋" w:hAnsi="仿宋" w:eastAsia="仿宋"/>
          <w:color w:val="auto"/>
          <w:sz w:val="32"/>
          <w:szCs w:val="32"/>
        </w:rPr>
        <w:t>出台新的专家劳务报酬支付标准后，按新的标准执行</w:t>
      </w:r>
      <w:r>
        <w:rPr>
          <w:rFonts w:hint="eastAsia" w:ascii="仿宋" w:hAnsi="仿宋" w:eastAsia="仿宋"/>
          <w:color w:val="auto"/>
          <w:sz w:val="32"/>
          <w:szCs w:val="32"/>
          <w:lang w:eastAsia="zh-CN"/>
        </w:rPr>
        <w:t>。</w:t>
      </w:r>
    </w:p>
    <w:p>
      <w:pPr>
        <w:keepNext w:val="0"/>
        <w:keepLines w:val="0"/>
        <w:pageBreakBefore w:val="0"/>
        <w:kinsoku/>
        <w:wordWrap/>
        <w:overflowPunct/>
        <w:topLinePunct w:val="0"/>
        <w:autoSpaceDE/>
        <w:autoSpaceDN/>
        <w:bidi w:val="0"/>
        <w:adjustRightInd/>
        <w:snapToGrid/>
        <w:spacing w:line="560" w:lineRule="exact"/>
        <w:ind w:firstLine="645"/>
        <w:jc w:val="left"/>
        <w:textAlignment w:val="auto"/>
        <w:rPr>
          <w:rFonts w:hint="eastAsia" w:ascii="仿宋" w:hAnsi="仿宋" w:eastAsia="仿宋" w:cs="仿宋"/>
          <w:i w:val="0"/>
          <w:iCs w:val="0"/>
          <w:caps w:val="0"/>
          <w:color w:val="auto"/>
          <w:spacing w:val="0"/>
          <w:sz w:val="32"/>
          <w:szCs w:val="32"/>
          <w:shd w:val="clear" w:fill="FFFFFF"/>
        </w:rPr>
      </w:pPr>
      <w:r>
        <w:rPr>
          <w:rFonts w:hint="eastAsia" w:ascii="仿宋" w:hAnsi="仿宋" w:eastAsia="仿宋"/>
          <w:color w:val="auto"/>
          <w:sz w:val="32"/>
          <w:szCs w:val="32"/>
          <w:lang w:eastAsia="zh-CN"/>
        </w:rPr>
        <w:t>（三）</w:t>
      </w:r>
      <w:r>
        <w:rPr>
          <w:rFonts w:hint="eastAsia" w:ascii="仿宋" w:hAnsi="仿宋" w:eastAsia="仿宋" w:cs="仿宋"/>
          <w:i w:val="0"/>
          <w:iCs w:val="0"/>
          <w:caps w:val="0"/>
          <w:color w:val="auto"/>
          <w:spacing w:val="0"/>
          <w:sz w:val="32"/>
          <w:szCs w:val="32"/>
          <w:shd w:val="clear" w:fill="FFFFFF"/>
        </w:rPr>
        <w:t>专家劳务</w:t>
      </w:r>
      <w:r>
        <w:rPr>
          <w:rFonts w:hint="eastAsia" w:ascii="仿宋" w:hAnsi="仿宋" w:eastAsia="仿宋" w:cs="仿宋"/>
          <w:i w:val="0"/>
          <w:iCs w:val="0"/>
          <w:caps w:val="0"/>
          <w:color w:val="auto"/>
          <w:spacing w:val="0"/>
          <w:sz w:val="32"/>
          <w:szCs w:val="32"/>
          <w:shd w:val="clear" w:fill="FFFFFF"/>
          <w:lang w:eastAsia="zh-CN"/>
        </w:rPr>
        <w:t>咨询</w:t>
      </w:r>
      <w:r>
        <w:rPr>
          <w:rFonts w:hint="eastAsia" w:ascii="仿宋" w:hAnsi="仿宋" w:eastAsia="仿宋" w:cs="仿宋"/>
          <w:i w:val="0"/>
          <w:iCs w:val="0"/>
          <w:caps w:val="0"/>
          <w:color w:val="auto"/>
          <w:spacing w:val="0"/>
          <w:sz w:val="32"/>
          <w:szCs w:val="32"/>
          <w:shd w:val="clear" w:fill="FFFFFF"/>
        </w:rPr>
        <w:t>费用</w:t>
      </w:r>
      <w:r>
        <w:rPr>
          <w:rFonts w:hint="eastAsia" w:ascii="仿宋" w:hAnsi="仿宋" w:eastAsia="仿宋" w:cs="仿宋"/>
          <w:i w:val="0"/>
          <w:iCs w:val="0"/>
          <w:caps w:val="0"/>
          <w:color w:val="auto"/>
          <w:spacing w:val="0"/>
          <w:sz w:val="32"/>
          <w:szCs w:val="32"/>
          <w:shd w:val="clear" w:fill="FFFFFF"/>
          <w:lang w:eastAsia="zh-CN"/>
        </w:rPr>
        <w:t>在专家委专项资金</w:t>
      </w:r>
      <w:r>
        <w:rPr>
          <w:rFonts w:hint="eastAsia" w:ascii="仿宋" w:hAnsi="仿宋" w:eastAsia="仿宋" w:cs="仿宋"/>
          <w:i w:val="0"/>
          <w:iCs w:val="0"/>
          <w:caps w:val="0"/>
          <w:color w:val="auto"/>
          <w:spacing w:val="0"/>
          <w:sz w:val="32"/>
          <w:szCs w:val="32"/>
          <w:shd w:val="clear" w:fill="FFFFFF"/>
        </w:rPr>
        <w:t>经费中列支。</w:t>
      </w:r>
      <w:r>
        <w:rPr>
          <w:rFonts w:hint="eastAsia" w:ascii="仿宋" w:hAnsi="仿宋" w:eastAsia="仿宋" w:cs="仿宋"/>
          <w:i w:val="0"/>
          <w:iCs w:val="0"/>
          <w:caps w:val="0"/>
          <w:color w:val="auto"/>
          <w:spacing w:val="0"/>
          <w:sz w:val="32"/>
          <w:szCs w:val="32"/>
          <w:shd w:val="clear" w:fill="FFFFFF"/>
          <w:lang w:eastAsia="zh-CN"/>
        </w:rPr>
        <w:t>发放</w:t>
      </w:r>
      <w:r>
        <w:rPr>
          <w:rFonts w:hint="eastAsia" w:ascii="仿宋" w:hAnsi="仿宋" w:eastAsia="仿宋" w:cs="仿宋"/>
          <w:i w:val="0"/>
          <w:iCs w:val="0"/>
          <w:caps w:val="0"/>
          <w:color w:val="auto"/>
          <w:spacing w:val="0"/>
          <w:sz w:val="32"/>
          <w:szCs w:val="32"/>
          <w:shd w:val="clear" w:fill="FFFFFF"/>
        </w:rPr>
        <w:t>应采取银行转账或公务卡方式结算，原则上不以现金方式支付</w:t>
      </w:r>
      <w:r>
        <w:rPr>
          <w:rFonts w:hint="eastAsia" w:ascii="仿宋" w:hAnsi="仿宋" w:eastAsia="仿宋" w:cs="仿宋"/>
          <w:i w:val="0"/>
          <w:iCs w:val="0"/>
          <w:caps w:val="0"/>
          <w:color w:val="auto"/>
          <w:spacing w:val="0"/>
          <w:sz w:val="32"/>
          <w:szCs w:val="32"/>
          <w:shd w:val="clear" w:fill="FFFFFF"/>
          <w:lang w:eastAsia="zh-CN"/>
        </w:rPr>
        <w:t>，</w:t>
      </w:r>
      <w:r>
        <w:rPr>
          <w:rFonts w:hint="eastAsia" w:ascii="仿宋" w:hAnsi="仿宋" w:eastAsia="仿宋" w:cs="仿宋"/>
          <w:i w:val="0"/>
          <w:iCs w:val="0"/>
          <w:caps w:val="0"/>
          <w:color w:val="auto"/>
          <w:spacing w:val="0"/>
          <w:sz w:val="32"/>
          <w:szCs w:val="32"/>
          <w:shd w:val="clear" w:fill="FFFFFF"/>
        </w:rPr>
        <w:t>需要缴纳税金的，由专家自行向税务机关申报。</w:t>
      </w:r>
    </w:p>
    <w:p>
      <w:pPr>
        <w:keepNext w:val="0"/>
        <w:keepLines w:val="0"/>
        <w:pageBreakBefore w:val="0"/>
        <w:kinsoku/>
        <w:wordWrap/>
        <w:overflowPunct/>
        <w:topLinePunct w:val="0"/>
        <w:autoSpaceDE/>
        <w:autoSpaceDN/>
        <w:bidi w:val="0"/>
        <w:adjustRightInd/>
        <w:snapToGrid/>
        <w:spacing w:line="560" w:lineRule="exact"/>
        <w:ind w:firstLine="645"/>
        <w:jc w:val="left"/>
        <w:textAlignment w:val="auto"/>
        <w:rPr>
          <w:rFonts w:hint="eastAsia" w:ascii="仿宋" w:hAnsi="仿宋" w:eastAsia="仿宋" w:cs="仿宋"/>
          <w:i w:val="0"/>
          <w:iCs w:val="0"/>
          <w:caps w:val="0"/>
          <w:color w:val="auto"/>
          <w:spacing w:val="0"/>
          <w:sz w:val="32"/>
          <w:szCs w:val="32"/>
          <w:shd w:val="clear" w:fill="FFFFFF"/>
        </w:rPr>
      </w:pPr>
      <w:r>
        <w:rPr>
          <w:rFonts w:hint="eastAsia" w:ascii="仿宋" w:hAnsi="仿宋" w:eastAsia="仿宋" w:cs="仿宋"/>
          <w:i w:val="0"/>
          <w:iCs w:val="0"/>
          <w:caps w:val="0"/>
          <w:color w:val="auto"/>
          <w:spacing w:val="0"/>
          <w:sz w:val="32"/>
          <w:szCs w:val="32"/>
          <w:shd w:val="clear" w:fill="FFFFFF"/>
          <w:lang w:eastAsia="zh-CN"/>
        </w:rPr>
        <w:t>（四）</w:t>
      </w:r>
      <w:r>
        <w:rPr>
          <w:rFonts w:hint="eastAsia" w:ascii="仿宋" w:hAnsi="仿宋" w:eastAsia="仿宋" w:cs="仿宋"/>
          <w:i w:val="0"/>
          <w:iCs w:val="0"/>
          <w:caps w:val="0"/>
          <w:color w:val="auto"/>
          <w:spacing w:val="0"/>
          <w:sz w:val="32"/>
          <w:szCs w:val="32"/>
          <w:shd w:val="clear" w:fill="FFFFFF"/>
        </w:rPr>
        <w:t>专家到常住地以外进行工作时所发生的交通费，</w:t>
      </w:r>
      <w:r>
        <w:rPr>
          <w:rFonts w:hint="eastAsia" w:ascii="仿宋" w:hAnsi="仿宋" w:eastAsia="仿宋" w:cs="仿宋"/>
          <w:i w:val="0"/>
          <w:iCs w:val="0"/>
          <w:caps w:val="0"/>
          <w:color w:val="auto"/>
          <w:spacing w:val="0"/>
          <w:sz w:val="32"/>
          <w:szCs w:val="32"/>
          <w:shd w:val="clear" w:fill="FFFFFF"/>
          <w:lang w:eastAsia="zh-CN"/>
        </w:rPr>
        <w:t>原则上由其</w:t>
      </w:r>
      <w:r>
        <w:rPr>
          <w:rFonts w:hint="eastAsia" w:ascii="仿宋" w:hAnsi="仿宋" w:eastAsia="仿宋" w:cs="仿宋"/>
          <w:i w:val="0"/>
          <w:iCs w:val="0"/>
          <w:caps w:val="0"/>
          <w:color w:val="auto"/>
          <w:spacing w:val="0"/>
          <w:sz w:val="32"/>
          <w:szCs w:val="32"/>
          <w:shd w:val="clear" w:fill="FFFFFF"/>
        </w:rPr>
        <w:t>聘</w:t>
      </w:r>
      <w:r>
        <w:rPr>
          <w:rFonts w:hint="eastAsia" w:ascii="仿宋" w:hAnsi="仿宋" w:eastAsia="仿宋" w:cs="仿宋"/>
          <w:i w:val="0"/>
          <w:iCs w:val="0"/>
          <w:caps w:val="0"/>
          <w:color w:val="auto"/>
          <w:spacing w:val="0"/>
          <w:sz w:val="32"/>
          <w:szCs w:val="32"/>
          <w:shd w:val="clear" w:fill="FFFFFF"/>
          <w:lang w:eastAsia="zh-CN"/>
        </w:rPr>
        <w:t>用</w:t>
      </w:r>
      <w:r>
        <w:rPr>
          <w:rFonts w:hint="eastAsia" w:ascii="仿宋" w:hAnsi="仿宋" w:eastAsia="仿宋" w:cs="仿宋"/>
          <w:i w:val="0"/>
          <w:iCs w:val="0"/>
          <w:caps w:val="0"/>
          <w:color w:val="auto"/>
          <w:spacing w:val="0"/>
          <w:sz w:val="32"/>
          <w:szCs w:val="32"/>
          <w:shd w:val="clear" w:fill="FFFFFF"/>
        </w:rPr>
        <w:t>单位</w:t>
      </w:r>
      <w:r>
        <w:rPr>
          <w:rFonts w:hint="eastAsia" w:ascii="仿宋" w:hAnsi="仿宋" w:eastAsia="仿宋" w:cs="仿宋"/>
          <w:i w:val="0"/>
          <w:iCs w:val="0"/>
          <w:caps w:val="0"/>
          <w:color w:val="auto"/>
          <w:spacing w:val="0"/>
          <w:sz w:val="32"/>
          <w:szCs w:val="32"/>
          <w:shd w:val="clear" w:fill="FFFFFF"/>
          <w:lang w:eastAsia="zh-CN"/>
        </w:rPr>
        <w:t>承担</w:t>
      </w:r>
      <w:r>
        <w:rPr>
          <w:rFonts w:hint="eastAsia" w:ascii="仿宋" w:hAnsi="仿宋" w:eastAsia="仿宋" w:cs="仿宋"/>
          <w:i w:val="0"/>
          <w:iCs w:val="0"/>
          <w:caps w:val="0"/>
          <w:color w:val="auto"/>
          <w:spacing w:val="0"/>
          <w:sz w:val="32"/>
          <w:szCs w:val="32"/>
          <w:shd w:val="clear" w:fill="FFFFFF"/>
        </w:rPr>
        <w:t>；</w:t>
      </w:r>
      <w:r>
        <w:rPr>
          <w:rFonts w:hint="eastAsia" w:ascii="仿宋" w:hAnsi="仿宋" w:eastAsia="仿宋" w:cs="仿宋"/>
          <w:i w:val="0"/>
          <w:iCs w:val="0"/>
          <w:caps w:val="0"/>
          <w:color w:val="auto"/>
          <w:spacing w:val="0"/>
          <w:sz w:val="32"/>
          <w:szCs w:val="32"/>
          <w:shd w:val="clear" w:fill="FFFFFF"/>
          <w:lang w:eastAsia="zh-CN"/>
        </w:rPr>
        <w:t>其住宿、</w:t>
      </w:r>
      <w:r>
        <w:rPr>
          <w:rFonts w:hint="eastAsia" w:ascii="仿宋" w:hAnsi="仿宋" w:eastAsia="仿宋" w:cs="仿宋"/>
          <w:i w:val="0"/>
          <w:iCs w:val="0"/>
          <w:caps w:val="0"/>
          <w:color w:val="auto"/>
          <w:spacing w:val="0"/>
          <w:sz w:val="32"/>
          <w:szCs w:val="32"/>
          <w:shd w:val="clear" w:fill="FFFFFF"/>
        </w:rPr>
        <w:t>伙食接待</w:t>
      </w:r>
      <w:r>
        <w:rPr>
          <w:rFonts w:hint="eastAsia" w:ascii="仿宋" w:hAnsi="仿宋" w:eastAsia="仿宋" w:cs="仿宋"/>
          <w:i w:val="0"/>
          <w:iCs w:val="0"/>
          <w:caps w:val="0"/>
          <w:color w:val="auto"/>
          <w:spacing w:val="0"/>
          <w:sz w:val="32"/>
          <w:szCs w:val="32"/>
          <w:shd w:val="clear" w:fill="FFFFFF"/>
          <w:lang w:eastAsia="zh-CN"/>
        </w:rPr>
        <w:t>由协会承担，其</w:t>
      </w:r>
      <w:r>
        <w:rPr>
          <w:rFonts w:hint="eastAsia" w:ascii="仿宋" w:hAnsi="仿宋" w:eastAsia="仿宋" w:cs="仿宋"/>
          <w:i w:val="0"/>
          <w:iCs w:val="0"/>
          <w:caps w:val="0"/>
          <w:color w:val="auto"/>
          <w:spacing w:val="0"/>
          <w:sz w:val="32"/>
          <w:szCs w:val="32"/>
          <w:shd w:val="clear" w:fill="FFFFFF"/>
        </w:rPr>
        <w:t>标准参照公务接待标准执行。</w:t>
      </w:r>
    </w:p>
    <w:p>
      <w:pPr>
        <w:keepNext w:val="0"/>
        <w:keepLines w:val="0"/>
        <w:pageBreakBefore w:val="0"/>
        <w:kinsoku/>
        <w:wordWrap/>
        <w:overflowPunct/>
        <w:topLinePunct w:val="0"/>
        <w:autoSpaceDE/>
        <w:autoSpaceDN/>
        <w:bidi w:val="0"/>
        <w:adjustRightInd/>
        <w:snapToGrid/>
        <w:spacing w:line="560" w:lineRule="exact"/>
        <w:textAlignment w:val="auto"/>
        <w:rPr>
          <w:rFonts w:ascii="仿宋" w:hAnsi="仿宋" w:eastAsia="仿宋"/>
          <w:color w:val="auto"/>
          <w:sz w:val="32"/>
          <w:szCs w:val="32"/>
        </w:rPr>
      </w:pPr>
      <w:r>
        <w:rPr>
          <w:rFonts w:hint="eastAsia" w:ascii="仿宋" w:hAnsi="仿宋" w:eastAsia="仿宋"/>
          <w:color w:val="auto"/>
          <w:sz w:val="32"/>
          <w:szCs w:val="32"/>
        </w:rPr>
        <w:t>　　（</w:t>
      </w:r>
      <w:r>
        <w:rPr>
          <w:rFonts w:hint="eastAsia" w:ascii="仿宋" w:hAnsi="仿宋" w:eastAsia="仿宋"/>
          <w:color w:val="auto"/>
          <w:sz w:val="32"/>
          <w:szCs w:val="32"/>
          <w:lang w:eastAsia="zh-CN"/>
        </w:rPr>
        <w:t>五</w:t>
      </w:r>
      <w:r>
        <w:rPr>
          <w:rFonts w:hint="eastAsia" w:ascii="仿宋" w:hAnsi="仿宋" w:eastAsia="仿宋"/>
          <w:color w:val="auto"/>
          <w:sz w:val="32"/>
          <w:szCs w:val="32"/>
        </w:rPr>
        <w:t>）专家委员会的经费管理</w:t>
      </w:r>
      <w:r>
        <w:rPr>
          <w:rFonts w:hint="eastAsia" w:ascii="仿宋" w:hAnsi="仿宋" w:eastAsia="仿宋"/>
          <w:color w:val="auto"/>
          <w:sz w:val="32"/>
          <w:szCs w:val="32"/>
          <w:lang w:eastAsia="zh-CN"/>
        </w:rPr>
        <w:t>实行专款专用，</w:t>
      </w:r>
      <w:r>
        <w:rPr>
          <w:rFonts w:hint="eastAsia" w:ascii="仿宋" w:hAnsi="仿宋" w:eastAsia="仿宋"/>
          <w:color w:val="auto"/>
          <w:sz w:val="32"/>
          <w:szCs w:val="32"/>
        </w:rPr>
        <w:t>严格执行国家有关财务管理规定，并接受协会</w:t>
      </w:r>
      <w:r>
        <w:rPr>
          <w:rFonts w:hint="eastAsia" w:ascii="仿宋" w:hAnsi="仿宋" w:eastAsia="仿宋"/>
          <w:color w:val="auto"/>
          <w:sz w:val="32"/>
          <w:szCs w:val="32"/>
          <w:lang w:eastAsia="zh-CN"/>
        </w:rPr>
        <w:t>秘书</w:t>
      </w:r>
      <w:r>
        <w:rPr>
          <w:rFonts w:hint="eastAsia" w:ascii="仿宋" w:hAnsi="仿宋" w:eastAsia="仿宋"/>
          <w:color w:val="auto"/>
          <w:sz w:val="32"/>
          <w:szCs w:val="32"/>
        </w:rPr>
        <w:t>监</w:t>
      </w:r>
      <w:r>
        <w:rPr>
          <w:rFonts w:hint="eastAsia" w:ascii="仿宋" w:hAnsi="仿宋" w:eastAsia="仿宋"/>
          <w:color w:val="auto"/>
          <w:sz w:val="32"/>
          <w:szCs w:val="32"/>
          <w:lang w:eastAsia="zh-CN"/>
        </w:rPr>
        <w:t>管</w:t>
      </w:r>
      <w:r>
        <w:rPr>
          <w:rFonts w:hint="eastAsia" w:ascii="仿宋" w:hAnsi="仿宋" w:eastAsia="仿宋"/>
          <w:color w:val="auto"/>
          <w:sz w:val="32"/>
          <w:szCs w:val="32"/>
        </w:rPr>
        <w:t>。</w:t>
      </w:r>
    </w:p>
    <w:p>
      <w:pPr>
        <w:keepNext w:val="0"/>
        <w:keepLines w:val="0"/>
        <w:pageBreakBefore w:val="0"/>
        <w:kinsoku/>
        <w:wordWrap/>
        <w:overflowPunct/>
        <w:topLinePunct w:val="0"/>
        <w:autoSpaceDE/>
        <w:autoSpaceDN/>
        <w:bidi w:val="0"/>
        <w:adjustRightInd/>
        <w:snapToGrid/>
        <w:spacing w:line="560" w:lineRule="exact"/>
        <w:jc w:val="center"/>
        <w:textAlignment w:val="auto"/>
        <w:rPr>
          <w:rFonts w:asciiTheme="minorEastAsia" w:hAnsiTheme="minorEastAsia" w:eastAsiaTheme="minorEastAsia"/>
          <w:b/>
          <w:color w:val="auto"/>
          <w:sz w:val="32"/>
          <w:szCs w:val="32"/>
        </w:rPr>
      </w:pPr>
      <w:r>
        <w:rPr>
          <w:rFonts w:hint="eastAsia" w:asciiTheme="minorEastAsia" w:hAnsiTheme="minorEastAsia" w:eastAsiaTheme="minorEastAsia"/>
          <w:b/>
          <w:color w:val="auto"/>
          <w:sz w:val="32"/>
          <w:szCs w:val="32"/>
        </w:rPr>
        <w:t>第六章 附  则</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rPr>
      </w:pPr>
      <w:r>
        <w:rPr>
          <w:rFonts w:hint="eastAsia" w:asciiTheme="minorEastAsia" w:hAnsiTheme="minorEastAsia" w:eastAsiaTheme="minorEastAsia"/>
          <w:b/>
          <w:color w:val="auto"/>
          <w:sz w:val="32"/>
          <w:szCs w:val="32"/>
        </w:rPr>
        <w:t xml:space="preserve">    </w:t>
      </w:r>
      <w:r>
        <w:rPr>
          <w:rFonts w:hint="eastAsia" w:ascii="仿宋" w:hAnsi="仿宋" w:eastAsia="仿宋"/>
          <w:color w:val="auto"/>
          <w:sz w:val="32"/>
          <w:szCs w:val="32"/>
        </w:rPr>
        <w:t>第</w:t>
      </w:r>
      <w:r>
        <w:rPr>
          <w:rFonts w:hint="eastAsia" w:ascii="仿宋" w:hAnsi="仿宋" w:eastAsia="仿宋"/>
          <w:color w:val="auto"/>
          <w:sz w:val="32"/>
          <w:szCs w:val="32"/>
          <w:lang w:eastAsia="zh-CN"/>
        </w:rPr>
        <w:t>二十</w:t>
      </w:r>
      <w:r>
        <w:rPr>
          <w:rFonts w:hint="eastAsia" w:ascii="仿宋" w:hAnsi="仿宋" w:eastAsia="仿宋"/>
          <w:color w:val="auto"/>
          <w:sz w:val="32"/>
          <w:szCs w:val="32"/>
        </w:rPr>
        <w:t xml:space="preserve">条 </w:t>
      </w:r>
      <w:r>
        <w:rPr>
          <w:rFonts w:hint="eastAsia" w:ascii="仿宋" w:hAnsi="仿宋" w:eastAsia="仿宋" w:cs="仿宋"/>
          <w:color w:val="auto"/>
          <w:sz w:val="32"/>
          <w:szCs w:val="32"/>
        </w:rPr>
        <w:t>本管理办法若与国家和地方法规、规章</w:t>
      </w:r>
      <w:r>
        <w:rPr>
          <w:rFonts w:hint="eastAsia" w:ascii="仿宋" w:hAnsi="仿宋" w:eastAsia="仿宋" w:cs="仿宋"/>
          <w:i w:val="0"/>
          <w:iCs w:val="0"/>
          <w:caps w:val="0"/>
          <w:color w:val="auto"/>
          <w:spacing w:val="0"/>
          <w:sz w:val="32"/>
          <w:szCs w:val="32"/>
          <w:shd w:val="clear" w:fill="FFFFFF"/>
        </w:rPr>
        <w:t>相抵触的</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从其规定</w:t>
      </w:r>
      <w:r>
        <w:rPr>
          <w:rFonts w:hint="eastAsia" w:ascii="仿宋" w:hAnsi="仿宋" w:eastAsia="仿宋" w:cs="仿宋"/>
          <w:color w:val="auto"/>
          <w:sz w:val="32"/>
          <w:szCs w:val="32"/>
        </w:rPr>
        <w:t>。</w:t>
      </w:r>
    </w:p>
    <w:p>
      <w:pPr>
        <w:keepNext w:val="0"/>
        <w:keepLines w:val="0"/>
        <w:pageBreakBefore w:val="0"/>
        <w:kinsoku/>
        <w:wordWrap/>
        <w:overflowPunct/>
        <w:topLinePunct w:val="0"/>
        <w:autoSpaceDE/>
        <w:autoSpaceDN/>
        <w:bidi w:val="0"/>
        <w:adjustRightInd/>
        <w:snapToGrid/>
        <w:spacing w:line="560" w:lineRule="exact"/>
        <w:textAlignment w:val="auto"/>
        <w:rPr>
          <w:rFonts w:ascii="仿宋" w:hAnsi="仿宋" w:eastAsia="仿宋"/>
          <w:color w:val="auto"/>
          <w:sz w:val="32"/>
          <w:szCs w:val="32"/>
        </w:rPr>
      </w:pPr>
      <w:r>
        <w:rPr>
          <w:rFonts w:hint="eastAsia" w:ascii="仿宋" w:hAnsi="仿宋" w:eastAsia="仿宋"/>
          <w:color w:val="auto"/>
          <w:sz w:val="32"/>
          <w:szCs w:val="32"/>
        </w:rPr>
        <w:t>　　第二十</w:t>
      </w:r>
      <w:r>
        <w:rPr>
          <w:rFonts w:hint="eastAsia" w:ascii="仿宋" w:hAnsi="仿宋" w:eastAsia="仿宋"/>
          <w:color w:val="auto"/>
          <w:sz w:val="32"/>
          <w:szCs w:val="32"/>
          <w:lang w:eastAsia="zh-CN"/>
        </w:rPr>
        <w:t>一</w:t>
      </w:r>
      <w:r>
        <w:rPr>
          <w:rFonts w:hint="eastAsia" w:ascii="仿宋" w:hAnsi="仿宋" w:eastAsia="仿宋"/>
          <w:color w:val="auto"/>
          <w:sz w:val="32"/>
          <w:szCs w:val="32"/>
        </w:rPr>
        <w:t>条 本办法由湖北省建设监理协会负责解释。</w:t>
      </w:r>
    </w:p>
    <w:p>
      <w:pPr>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仿宋" w:hAnsi="仿宋" w:eastAsia="仿宋"/>
          <w:color w:val="auto"/>
          <w:sz w:val="32"/>
          <w:szCs w:val="32"/>
        </w:rPr>
      </w:pPr>
      <w:r>
        <w:rPr>
          <w:rFonts w:hint="eastAsia" w:ascii="仿宋" w:hAnsi="仿宋" w:eastAsia="仿宋"/>
          <w:color w:val="auto"/>
          <w:sz w:val="32"/>
          <w:szCs w:val="32"/>
        </w:rPr>
        <w:t>第二十</w:t>
      </w:r>
      <w:r>
        <w:rPr>
          <w:rFonts w:hint="eastAsia" w:ascii="仿宋" w:hAnsi="仿宋" w:eastAsia="仿宋"/>
          <w:color w:val="auto"/>
          <w:sz w:val="32"/>
          <w:szCs w:val="32"/>
          <w:lang w:eastAsia="zh-CN"/>
        </w:rPr>
        <w:t>二</w:t>
      </w:r>
      <w:r>
        <w:rPr>
          <w:rFonts w:hint="eastAsia" w:ascii="仿宋" w:hAnsi="仿宋" w:eastAsia="仿宋"/>
          <w:color w:val="auto"/>
          <w:sz w:val="32"/>
          <w:szCs w:val="32"/>
        </w:rPr>
        <w:t>条　本办法自发布之日起施</w:t>
      </w:r>
      <w:r>
        <w:rPr>
          <w:rFonts w:hint="eastAsia" w:ascii="仿宋" w:hAnsi="仿宋" w:eastAsia="仿宋"/>
          <w:color w:val="auto"/>
          <w:sz w:val="32"/>
          <w:szCs w:val="32"/>
          <w:lang w:eastAsia="zh-CN"/>
        </w:rPr>
        <w:t>行</w:t>
      </w:r>
      <w:r>
        <w:rPr>
          <w:rFonts w:hint="eastAsia" w:ascii="仿宋" w:hAnsi="仿宋" w:eastAsia="仿宋"/>
          <w:color w:val="auto"/>
          <w:sz w:val="32"/>
          <w:szCs w:val="32"/>
        </w:rPr>
        <w:t>。</w:t>
      </w:r>
      <w:bookmarkStart w:id="0" w:name="_GoBack"/>
      <w:bookmarkEnd w:id="0"/>
    </w:p>
    <w:p>
      <w:pPr>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仿宋" w:hAnsi="仿宋" w:eastAsia="仿宋"/>
          <w:color w:val="auto"/>
          <w:sz w:val="32"/>
          <w:szCs w:val="32"/>
        </w:rPr>
      </w:pPr>
    </w:p>
    <w:p>
      <w:pPr>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仿宋" w:hAnsi="仿宋" w:eastAsia="仿宋"/>
          <w:color w:val="auto"/>
          <w:sz w:val="32"/>
          <w:szCs w:val="32"/>
        </w:rPr>
      </w:pPr>
    </w:p>
    <w:p>
      <w:pPr>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仿宋" w:hAnsi="仿宋" w:eastAsia="仿宋"/>
          <w:color w:val="auto"/>
          <w:sz w:val="32"/>
          <w:szCs w:val="32"/>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14475708"/>
      <w:docPartObj>
        <w:docPartGallery w:val="autotext"/>
      </w:docPartObj>
    </w:sdtPr>
    <w:sdtContent>
      <w:p>
        <w:pPr>
          <w:pStyle w:val="4"/>
          <w:jc w:val="center"/>
        </w:pPr>
        <w:r>
          <w:fldChar w:fldCharType="begin"/>
        </w:r>
        <w:r>
          <w:instrText xml:space="preserve">PAGE   \* MERGEFORMAT</w:instrText>
        </w:r>
        <w:r>
          <w:fldChar w:fldCharType="separate"/>
        </w:r>
        <w:r>
          <w:rPr>
            <w:lang w:val="zh-CN"/>
          </w:rPr>
          <w:t>1</w:t>
        </w:r>
        <w:r>
          <w:fldChar w:fldCharType="end"/>
        </w:r>
      </w:p>
    </w:sdtContent>
  </w:sdt>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7DD3A9B"/>
    <w:multiLevelType w:val="multilevel"/>
    <w:tmpl w:val="77DD3A9B"/>
    <w:lvl w:ilvl="0" w:tentative="0">
      <w:start w:val="1"/>
      <w:numFmt w:val="japaneseCounting"/>
      <w:lvlText w:val="（%1）"/>
      <w:lvlJc w:val="left"/>
      <w:pPr>
        <w:ind w:left="1725" w:hanging="1080"/>
      </w:pPr>
      <w:rPr>
        <w:rFonts w:hint="default"/>
      </w:rPr>
    </w:lvl>
    <w:lvl w:ilvl="1" w:tentative="0">
      <w:start w:val="1"/>
      <w:numFmt w:val="lowerLetter"/>
      <w:lvlText w:val="%2)"/>
      <w:lvlJc w:val="left"/>
      <w:pPr>
        <w:ind w:left="1485" w:hanging="420"/>
      </w:pPr>
    </w:lvl>
    <w:lvl w:ilvl="2" w:tentative="0">
      <w:start w:val="1"/>
      <w:numFmt w:val="lowerRoman"/>
      <w:lvlText w:val="%3."/>
      <w:lvlJc w:val="right"/>
      <w:pPr>
        <w:ind w:left="1905" w:hanging="420"/>
      </w:pPr>
    </w:lvl>
    <w:lvl w:ilvl="3" w:tentative="0">
      <w:start w:val="1"/>
      <w:numFmt w:val="decimal"/>
      <w:lvlText w:val="%4."/>
      <w:lvlJc w:val="left"/>
      <w:pPr>
        <w:ind w:left="2325" w:hanging="420"/>
      </w:pPr>
    </w:lvl>
    <w:lvl w:ilvl="4" w:tentative="0">
      <w:start w:val="1"/>
      <w:numFmt w:val="lowerLetter"/>
      <w:lvlText w:val="%5)"/>
      <w:lvlJc w:val="left"/>
      <w:pPr>
        <w:ind w:left="2745" w:hanging="420"/>
      </w:pPr>
    </w:lvl>
    <w:lvl w:ilvl="5" w:tentative="0">
      <w:start w:val="1"/>
      <w:numFmt w:val="lowerRoman"/>
      <w:lvlText w:val="%6."/>
      <w:lvlJc w:val="right"/>
      <w:pPr>
        <w:ind w:left="3165" w:hanging="420"/>
      </w:pPr>
    </w:lvl>
    <w:lvl w:ilvl="6" w:tentative="0">
      <w:start w:val="1"/>
      <w:numFmt w:val="decimal"/>
      <w:lvlText w:val="%7."/>
      <w:lvlJc w:val="left"/>
      <w:pPr>
        <w:ind w:left="3585" w:hanging="420"/>
      </w:pPr>
    </w:lvl>
    <w:lvl w:ilvl="7" w:tentative="0">
      <w:start w:val="1"/>
      <w:numFmt w:val="lowerLetter"/>
      <w:lvlText w:val="%8)"/>
      <w:lvlJc w:val="left"/>
      <w:pPr>
        <w:ind w:left="4005" w:hanging="420"/>
      </w:pPr>
    </w:lvl>
    <w:lvl w:ilvl="8" w:tentative="0">
      <w:start w:val="1"/>
      <w:numFmt w:val="lowerRoman"/>
      <w:lvlText w:val="%9."/>
      <w:lvlJc w:val="right"/>
      <w:pPr>
        <w:ind w:left="442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lNzdkM2VlMDUxZDRmYjVlM2U3MjNlMmNhMzc4MjkifQ=="/>
  </w:docVars>
  <w:rsids>
    <w:rsidRoot w:val="00752082"/>
    <w:rsid w:val="000028C7"/>
    <w:rsid w:val="0000643D"/>
    <w:rsid w:val="00016CD4"/>
    <w:rsid w:val="000215F3"/>
    <w:rsid w:val="00026D29"/>
    <w:rsid w:val="000367EE"/>
    <w:rsid w:val="00041AC4"/>
    <w:rsid w:val="00054C3A"/>
    <w:rsid w:val="00061AC6"/>
    <w:rsid w:val="00063DA8"/>
    <w:rsid w:val="0007398B"/>
    <w:rsid w:val="000849A2"/>
    <w:rsid w:val="00085FF4"/>
    <w:rsid w:val="000A0187"/>
    <w:rsid w:val="000A3CE0"/>
    <w:rsid w:val="000A3F8D"/>
    <w:rsid w:val="000C1940"/>
    <w:rsid w:val="000C243E"/>
    <w:rsid w:val="000C33E6"/>
    <w:rsid w:val="000C4FC3"/>
    <w:rsid w:val="000C50F4"/>
    <w:rsid w:val="000D1AB3"/>
    <w:rsid w:val="000D21BA"/>
    <w:rsid w:val="000E7831"/>
    <w:rsid w:val="000F6D26"/>
    <w:rsid w:val="0010016B"/>
    <w:rsid w:val="00112161"/>
    <w:rsid w:val="00124483"/>
    <w:rsid w:val="00127C93"/>
    <w:rsid w:val="00153E49"/>
    <w:rsid w:val="00156BBE"/>
    <w:rsid w:val="00156EB8"/>
    <w:rsid w:val="00157093"/>
    <w:rsid w:val="00164620"/>
    <w:rsid w:val="001702B7"/>
    <w:rsid w:val="0017169E"/>
    <w:rsid w:val="00173B6C"/>
    <w:rsid w:val="00174AEB"/>
    <w:rsid w:val="00183CA6"/>
    <w:rsid w:val="001A3930"/>
    <w:rsid w:val="001B003D"/>
    <w:rsid w:val="001B6028"/>
    <w:rsid w:val="001B7D8A"/>
    <w:rsid w:val="001C25F4"/>
    <w:rsid w:val="001C362B"/>
    <w:rsid w:val="001C4678"/>
    <w:rsid w:val="001C554B"/>
    <w:rsid w:val="001E2E43"/>
    <w:rsid w:val="001E5B06"/>
    <w:rsid w:val="001E6EB5"/>
    <w:rsid w:val="001F15B5"/>
    <w:rsid w:val="001F19C4"/>
    <w:rsid w:val="001F6D91"/>
    <w:rsid w:val="00221C43"/>
    <w:rsid w:val="00222D25"/>
    <w:rsid w:val="00225477"/>
    <w:rsid w:val="00251661"/>
    <w:rsid w:val="00266464"/>
    <w:rsid w:val="002A3401"/>
    <w:rsid w:val="002A4013"/>
    <w:rsid w:val="002B014F"/>
    <w:rsid w:val="002B6ADE"/>
    <w:rsid w:val="002C201A"/>
    <w:rsid w:val="002C5341"/>
    <w:rsid w:val="002C727A"/>
    <w:rsid w:val="002E418E"/>
    <w:rsid w:val="002E7FDF"/>
    <w:rsid w:val="002F3B1A"/>
    <w:rsid w:val="002F461B"/>
    <w:rsid w:val="002F6079"/>
    <w:rsid w:val="00300B12"/>
    <w:rsid w:val="0032191B"/>
    <w:rsid w:val="00322C7F"/>
    <w:rsid w:val="0032430F"/>
    <w:rsid w:val="00331454"/>
    <w:rsid w:val="003327BD"/>
    <w:rsid w:val="00332F51"/>
    <w:rsid w:val="00337E3C"/>
    <w:rsid w:val="00351D80"/>
    <w:rsid w:val="00352CA4"/>
    <w:rsid w:val="0036082D"/>
    <w:rsid w:val="00382C2C"/>
    <w:rsid w:val="00394FEF"/>
    <w:rsid w:val="0039748C"/>
    <w:rsid w:val="003A4FC5"/>
    <w:rsid w:val="003B19B8"/>
    <w:rsid w:val="003B73C2"/>
    <w:rsid w:val="003C49F5"/>
    <w:rsid w:val="003D5AAC"/>
    <w:rsid w:val="003E2E95"/>
    <w:rsid w:val="003F2079"/>
    <w:rsid w:val="003F235E"/>
    <w:rsid w:val="003F6923"/>
    <w:rsid w:val="003F7728"/>
    <w:rsid w:val="004020BE"/>
    <w:rsid w:val="0040249F"/>
    <w:rsid w:val="00407274"/>
    <w:rsid w:val="00416C41"/>
    <w:rsid w:val="00423348"/>
    <w:rsid w:val="004235C9"/>
    <w:rsid w:val="00443363"/>
    <w:rsid w:val="0044372E"/>
    <w:rsid w:val="0044572C"/>
    <w:rsid w:val="004466D3"/>
    <w:rsid w:val="00446C76"/>
    <w:rsid w:val="004503C6"/>
    <w:rsid w:val="00457215"/>
    <w:rsid w:val="00461DB8"/>
    <w:rsid w:val="00464471"/>
    <w:rsid w:val="0046523B"/>
    <w:rsid w:val="00467D28"/>
    <w:rsid w:val="00470053"/>
    <w:rsid w:val="004755ED"/>
    <w:rsid w:val="00476D0D"/>
    <w:rsid w:val="004838AA"/>
    <w:rsid w:val="00487157"/>
    <w:rsid w:val="00492D5D"/>
    <w:rsid w:val="004A0054"/>
    <w:rsid w:val="004A2ACA"/>
    <w:rsid w:val="004A6D2B"/>
    <w:rsid w:val="004B2CD7"/>
    <w:rsid w:val="004C3616"/>
    <w:rsid w:val="004D35C3"/>
    <w:rsid w:val="004E7201"/>
    <w:rsid w:val="004F5FCB"/>
    <w:rsid w:val="00500BF4"/>
    <w:rsid w:val="005045B3"/>
    <w:rsid w:val="00510E04"/>
    <w:rsid w:val="005113C4"/>
    <w:rsid w:val="00532CCC"/>
    <w:rsid w:val="005355AD"/>
    <w:rsid w:val="00540DF1"/>
    <w:rsid w:val="00550FFA"/>
    <w:rsid w:val="00553348"/>
    <w:rsid w:val="00555D04"/>
    <w:rsid w:val="0056039B"/>
    <w:rsid w:val="005607C4"/>
    <w:rsid w:val="00560A97"/>
    <w:rsid w:val="00560F96"/>
    <w:rsid w:val="00574022"/>
    <w:rsid w:val="005828F2"/>
    <w:rsid w:val="00587BAC"/>
    <w:rsid w:val="00596F9D"/>
    <w:rsid w:val="005A7FD1"/>
    <w:rsid w:val="005C3F5A"/>
    <w:rsid w:val="005D76BF"/>
    <w:rsid w:val="005E03E6"/>
    <w:rsid w:val="005E30CB"/>
    <w:rsid w:val="005E5F8A"/>
    <w:rsid w:val="005F2403"/>
    <w:rsid w:val="005F3EAD"/>
    <w:rsid w:val="005F5E50"/>
    <w:rsid w:val="005F5E60"/>
    <w:rsid w:val="00601ED6"/>
    <w:rsid w:val="00606648"/>
    <w:rsid w:val="006105F4"/>
    <w:rsid w:val="00610E46"/>
    <w:rsid w:val="00625438"/>
    <w:rsid w:val="00635B80"/>
    <w:rsid w:val="00641C01"/>
    <w:rsid w:val="00650EC4"/>
    <w:rsid w:val="00656531"/>
    <w:rsid w:val="00671CE9"/>
    <w:rsid w:val="006767FD"/>
    <w:rsid w:val="00695FAB"/>
    <w:rsid w:val="00696357"/>
    <w:rsid w:val="006972C9"/>
    <w:rsid w:val="00697631"/>
    <w:rsid w:val="006C36C6"/>
    <w:rsid w:val="006C7B3D"/>
    <w:rsid w:val="006D208C"/>
    <w:rsid w:val="006D20F2"/>
    <w:rsid w:val="006D512B"/>
    <w:rsid w:val="006E35F8"/>
    <w:rsid w:val="006E6678"/>
    <w:rsid w:val="006E7161"/>
    <w:rsid w:val="006F5047"/>
    <w:rsid w:val="00701F20"/>
    <w:rsid w:val="00705065"/>
    <w:rsid w:val="007100BB"/>
    <w:rsid w:val="00710D15"/>
    <w:rsid w:val="00711B5E"/>
    <w:rsid w:val="007213BF"/>
    <w:rsid w:val="00730BB5"/>
    <w:rsid w:val="0073392C"/>
    <w:rsid w:val="00742632"/>
    <w:rsid w:val="007442D5"/>
    <w:rsid w:val="00744853"/>
    <w:rsid w:val="00752082"/>
    <w:rsid w:val="0075347B"/>
    <w:rsid w:val="007548BF"/>
    <w:rsid w:val="00755421"/>
    <w:rsid w:val="00760D2F"/>
    <w:rsid w:val="007621D5"/>
    <w:rsid w:val="007662F8"/>
    <w:rsid w:val="00773DC4"/>
    <w:rsid w:val="007746B9"/>
    <w:rsid w:val="007838A4"/>
    <w:rsid w:val="00790AC1"/>
    <w:rsid w:val="007913B9"/>
    <w:rsid w:val="0079507A"/>
    <w:rsid w:val="007A6C96"/>
    <w:rsid w:val="007A6FA2"/>
    <w:rsid w:val="007C3007"/>
    <w:rsid w:val="007C3C81"/>
    <w:rsid w:val="007C4975"/>
    <w:rsid w:val="007D6DD5"/>
    <w:rsid w:val="007E3E5F"/>
    <w:rsid w:val="007F0C2B"/>
    <w:rsid w:val="007F17CE"/>
    <w:rsid w:val="007F78D5"/>
    <w:rsid w:val="00805C97"/>
    <w:rsid w:val="008072FB"/>
    <w:rsid w:val="00811FF7"/>
    <w:rsid w:val="00812114"/>
    <w:rsid w:val="00820832"/>
    <w:rsid w:val="00824B81"/>
    <w:rsid w:val="00833825"/>
    <w:rsid w:val="00842406"/>
    <w:rsid w:val="008528F5"/>
    <w:rsid w:val="00854765"/>
    <w:rsid w:val="008550FF"/>
    <w:rsid w:val="00856DA4"/>
    <w:rsid w:val="00857039"/>
    <w:rsid w:val="008643B9"/>
    <w:rsid w:val="00883F6E"/>
    <w:rsid w:val="00893A5C"/>
    <w:rsid w:val="008A3C29"/>
    <w:rsid w:val="008A61AB"/>
    <w:rsid w:val="008C1853"/>
    <w:rsid w:val="008C52BB"/>
    <w:rsid w:val="008D1501"/>
    <w:rsid w:val="008D3270"/>
    <w:rsid w:val="008D6EA3"/>
    <w:rsid w:val="008E794B"/>
    <w:rsid w:val="008F4698"/>
    <w:rsid w:val="008F52EB"/>
    <w:rsid w:val="00900491"/>
    <w:rsid w:val="00901763"/>
    <w:rsid w:val="009056D7"/>
    <w:rsid w:val="0090796B"/>
    <w:rsid w:val="00907A12"/>
    <w:rsid w:val="00915FEA"/>
    <w:rsid w:val="009356A9"/>
    <w:rsid w:val="009360B5"/>
    <w:rsid w:val="00942358"/>
    <w:rsid w:val="00951EE0"/>
    <w:rsid w:val="009528C8"/>
    <w:rsid w:val="009563E7"/>
    <w:rsid w:val="00960BB9"/>
    <w:rsid w:val="00971E72"/>
    <w:rsid w:val="00973B0B"/>
    <w:rsid w:val="00993861"/>
    <w:rsid w:val="00994447"/>
    <w:rsid w:val="009B0C66"/>
    <w:rsid w:val="009C4281"/>
    <w:rsid w:val="009D0CE5"/>
    <w:rsid w:val="009D6654"/>
    <w:rsid w:val="009E774D"/>
    <w:rsid w:val="009F1016"/>
    <w:rsid w:val="009F5E27"/>
    <w:rsid w:val="00A028C5"/>
    <w:rsid w:val="00A17819"/>
    <w:rsid w:val="00A33A29"/>
    <w:rsid w:val="00A35264"/>
    <w:rsid w:val="00A40347"/>
    <w:rsid w:val="00A51BEA"/>
    <w:rsid w:val="00A54301"/>
    <w:rsid w:val="00A56E31"/>
    <w:rsid w:val="00A60C24"/>
    <w:rsid w:val="00A64795"/>
    <w:rsid w:val="00A65239"/>
    <w:rsid w:val="00A67447"/>
    <w:rsid w:val="00A67F8E"/>
    <w:rsid w:val="00A7632A"/>
    <w:rsid w:val="00A8364A"/>
    <w:rsid w:val="00A83C31"/>
    <w:rsid w:val="00A86270"/>
    <w:rsid w:val="00A96CE4"/>
    <w:rsid w:val="00AA5351"/>
    <w:rsid w:val="00AB2512"/>
    <w:rsid w:val="00AB6CCD"/>
    <w:rsid w:val="00AB71C4"/>
    <w:rsid w:val="00AD107B"/>
    <w:rsid w:val="00AE0380"/>
    <w:rsid w:val="00AE5CCD"/>
    <w:rsid w:val="00AF257B"/>
    <w:rsid w:val="00AF3F13"/>
    <w:rsid w:val="00AF4646"/>
    <w:rsid w:val="00AF4EF1"/>
    <w:rsid w:val="00B00EA1"/>
    <w:rsid w:val="00B04501"/>
    <w:rsid w:val="00B12D7E"/>
    <w:rsid w:val="00B162F9"/>
    <w:rsid w:val="00B227B8"/>
    <w:rsid w:val="00B27ABF"/>
    <w:rsid w:val="00B328A2"/>
    <w:rsid w:val="00B36437"/>
    <w:rsid w:val="00B478D4"/>
    <w:rsid w:val="00B56A65"/>
    <w:rsid w:val="00B57323"/>
    <w:rsid w:val="00B57C2A"/>
    <w:rsid w:val="00B6388A"/>
    <w:rsid w:val="00B65C62"/>
    <w:rsid w:val="00B74694"/>
    <w:rsid w:val="00B7488D"/>
    <w:rsid w:val="00B76F77"/>
    <w:rsid w:val="00B81224"/>
    <w:rsid w:val="00B8239F"/>
    <w:rsid w:val="00B85738"/>
    <w:rsid w:val="00B904EE"/>
    <w:rsid w:val="00BA08C6"/>
    <w:rsid w:val="00BA7B56"/>
    <w:rsid w:val="00BB2AE0"/>
    <w:rsid w:val="00BB705D"/>
    <w:rsid w:val="00BC402C"/>
    <w:rsid w:val="00BD3D19"/>
    <w:rsid w:val="00BD480D"/>
    <w:rsid w:val="00BD6311"/>
    <w:rsid w:val="00BE1A99"/>
    <w:rsid w:val="00BE1CDD"/>
    <w:rsid w:val="00BF4D8D"/>
    <w:rsid w:val="00C0073C"/>
    <w:rsid w:val="00C1472C"/>
    <w:rsid w:val="00C16A05"/>
    <w:rsid w:val="00C176C6"/>
    <w:rsid w:val="00C25670"/>
    <w:rsid w:val="00C3025A"/>
    <w:rsid w:val="00C33D32"/>
    <w:rsid w:val="00C350CB"/>
    <w:rsid w:val="00C36C57"/>
    <w:rsid w:val="00C37CE8"/>
    <w:rsid w:val="00C45E59"/>
    <w:rsid w:val="00C47661"/>
    <w:rsid w:val="00C47698"/>
    <w:rsid w:val="00C505AC"/>
    <w:rsid w:val="00C557FE"/>
    <w:rsid w:val="00C65D16"/>
    <w:rsid w:val="00C809DB"/>
    <w:rsid w:val="00C82359"/>
    <w:rsid w:val="00C8289C"/>
    <w:rsid w:val="00CA3A39"/>
    <w:rsid w:val="00CB67AC"/>
    <w:rsid w:val="00CC5CBC"/>
    <w:rsid w:val="00CC7455"/>
    <w:rsid w:val="00CD25F1"/>
    <w:rsid w:val="00CE4D34"/>
    <w:rsid w:val="00CF7F35"/>
    <w:rsid w:val="00D02C21"/>
    <w:rsid w:val="00D05559"/>
    <w:rsid w:val="00D10BD9"/>
    <w:rsid w:val="00D20429"/>
    <w:rsid w:val="00D205F5"/>
    <w:rsid w:val="00D20CB3"/>
    <w:rsid w:val="00D23F7C"/>
    <w:rsid w:val="00D25109"/>
    <w:rsid w:val="00D33484"/>
    <w:rsid w:val="00D33F1C"/>
    <w:rsid w:val="00D34522"/>
    <w:rsid w:val="00D4088F"/>
    <w:rsid w:val="00D40DC0"/>
    <w:rsid w:val="00D44249"/>
    <w:rsid w:val="00D60429"/>
    <w:rsid w:val="00D60F12"/>
    <w:rsid w:val="00D62FF2"/>
    <w:rsid w:val="00D73BDD"/>
    <w:rsid w:val="00D853CA"/>
    <w:rsid w:val="00D97AA6"/>
    <w:rsid w:val="00DA3EEC"/>
    <w:rsid w:val="00DB18E6"/>
    <w:rsid w:val="00DB3EE9"/>
    <w:rsid w:val="00DC3C83"/>
    <w:rsid w:val="00DF3092"/>
    <w:rsid w:val="00DF5736"/>
    <w:rsid w:val="00E04FF7"/>
    <w:rsid w:val="00E10C86"/>
    <w:rsid w:val="00E15D0C"/>
    <w:rsid w:val="00E20283"/>
    <w:rsid w:val="00E4421C"/>
    <w:rsid w:val="00E5009C"/>
    <w:rsid w:val="00E635A9"/>
    <w:rsid w:val="00E66D27"/>
    <w:rsid w:val="00E707E6"/>
    <w:rsid w:val="00E74873"/>
    <w:rsid w:val="00E87FF3"/>
    <w:rsid w:val="00E90A10"/>
    <w:rsid w:val="00EB0DB4"/>
    <w:rsid w:val="00EC46E6"/>
    <w:rsid w:val="00EC4E11"/>
    <w:rsid w:val="00EC772A"/>
    <w:rsid w:val="00ED2D75"/>
    <w:rsid w:val="00EE1D29"/>
    <w:rsid w:val="00EE5525"/>
    <w:rsid w:val="00EE57EF"/>
    <w:rsid w:val="00EF17A7"/>
    <w:rsid w:val="00EF2405"/>
    <w:rsid w:val="00EF43CD"/>
    <w:rsid w:val="00EF6E55"/>
    <w:rsid w:val="00EF7540"/>
    <w:rsid w:val="00F01380"/>
    <w:rsid w:val="00F07CBE"/>
    <w:rsid w:val="00F110D5"/>
    <w:rsid w:val="00F17279"/>
    <w:rsid w:val="00F222B9"/>
    <w:rsid w:val="00F32C46"/>
    <w:rsid w:val="00F37BF4"/>
    <w:rsid w:val="00F54663"/>
    <w:rsid w:val="00F5569F"/>
    <w:rsid w:val="00F6238C"/>
    <w:rsid w:val="00F70387"/>
    <w:rsid w:val="00F74DC3"/>
    <w:rsid w:val="00F86C9B"/>
    <w:rsid w:val="00F922D1"/>
    <w:rsid w:val="00FA0B3C"/>
    <w:rsid w:val="00FA1A09"/>
    <w:rsid w:val="00FA4463"/>
    <w:rsid w:val="00FB1BE4"/>
    <w:rsid w:val="00FB7A12"/>
    <w:rsid w:val="00FC4C79"/>
    <w:rsid w:val="00FD1FDA"/>
    <w:rsid w:val="00FD4366"/>
    <w:rsid w:val="00FE4347"/>
    <w:rsid w:val="039F784E"/>
    <w:rsid w:val="044630F4"/>
    <w:rsid w:val="04B24206"/>
    <w:rsid w:val="0D432C55"/>
    <w:rsid w:val="11556BC7"/>
    <w:rsid w:val="18F6744F"/>
    <w:rsid w:val="1EFF1DBB"/>
    <w:rsid w:val="2022327E"/>
    <w:rsid w:val="20EC6239"/>
    <w:rsid w:val="2ED6130D"/>
    <w:rsid w:val="327F66DF"/>
    <w:rsid w:val="336F57FC"/>
    <w:rsid w:val="38937AE6"/>
    <w:rsid w:val="55B55F10"/>
    <w:rsid w:val="5CDD494A"/>
    <w:rsid w:val="5D44452F"/>
    <w:rsid w:val="5E715F36"/>
    <w:rsid w:val="68BF1E1C"/>
    <w:rsid w:val="76285E0B"/>
    <w:rsid w:val="76994D90"/>
    <w:rsid w:val="77813D88"/>
    <w:rsid w:val="785B4609"/>
    <w:rsid w:val="7B302174"/>
    <w:rsid w:val="7D742B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1"/>
    <w:qFormat/>
    <w:uiPriority w:val="0"/>
    <w:rPr>
      <w:sz w:val="18"/>
      <w:szCs w:val="18"/>
    </w:rPr>
  </w:style>
  <w:style w:type="paragraph" w:styleId="4">
    <w:name w:val="footer"/>
    <w:basedOn w:val="1"/>
    <w:link w:val="9"/>
    <w:qFormat/>
    <w:uiPriority w:val="99"/>
    <w:pPr>
      <w:tabs>
        <w:tab w:val="center" w:pos="4153"/>
        <w:tab w:val="right" w:pos="8306"/>
      </w:tabs>
      <w:snapToGrid w:val="0"/>
      <w:jc w:val="left"/>
    </w:pPr>
    <w:rPr>
      <w:sz w:val="18"/>
      <w:szCs w:val="18"/>
    </w:rPr>
  </w:style>
  <w:style w:type="paragraph" w:styleId="5">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qFormat/>
    <w:uiPriority w:val="0"/>
    <w:rPr>
      <w:kern w:val="2"/>
      <w:sz w:val="18"/>
      <w:szCs w:val="18"/>
    </w:rPr>
  </w:style>
  <w:style w:type="character" w:customStyle="1" w:styleId="9">
    <w:name w:val="页脚 Char"/>
    <w:basedOn w:val="7"/>
    <w:link w:val="4"/>
    <w:qFormat/>
    <w:uiPriority w:val="99"/>
    <w:rPr>
      <w:kern w:val="2"/>
      <w:sz w:val="18"/>
      <w:szCs w:val="18"/>
    </w:rPr>
  </w:style>
  <w:style w:type="paragraph" w:styleId="10">
    <w:name w:val="List Paragraph"/>
    <w:basedOn w:val="1"/>
    <w:qFormat/>
    <w:uiPriority w:val="34"/>
    <w:pPr>
      <w:ind w:firstLine="420" w:firstLineChars="200"/>
    </w:pPr>
  </w:style>
  <w:style w:type="character" w:customStyle="1" w:styleId="11">
    <w:name w:val="批注框文本 Char"/>
    <w:basedOn w:val="7"/>
    <w:link w:val="3"/>
    <w:qFormat/>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2387</Words>
  <Characters>2399</Characters>
  <Lines>16</Lines>
  <Paragraphs>4</Paragraphs>
  <TotalTime>27</TotalTime>
  <ScaleCrop>false</ScaleCrop>
  <LinksUpToDate>false</LinksUpToDate>
  <CharactersWithSpaces>2497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2018-04-19T06:17:00Z</dcterms:created>
  <dc:creator>lenovo</dc:creator>
  <cp:lastModifiedBy>Administrator</cp:lastModifiedBy>
  <cp:lastPrinted>2018-09-14T11:51:00Z</cp:lastPrinted>
  <dcterms:modified xsi:type="dcterms:W3CDTF">2023-06-21T07:39:37Z</dcterms:modified>
  <cp:revision>65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0C91183D196C495781D75DE734E7B2DB_13</vt:lpwstr>
  </property>
</Properties>
</file>